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30688">
      <w:pPr>
        <w:keepNext w:val="0"/>
        <w:keepLines w:val="0"/>
        <w:pageBreakBefore w:val="0"/>
        <w:widowControl w:val="0"/>
        <w:kinsoku/>
        <w:wordWrap/>
        <w:overflowPunct/>
        <w:topLinePunct w:val="0"/>
        <w:autoSpaceDE/>
        <w:autoSpaceDN/>
        <w:bidi w:val="0"/>
        <w:adjustRightInd/>
        <w:snapToGrid/>
        <w:ind w:firstLine="723" w:firstLineChars="200"/>
        <w:jc w:val="center"/>
        <w:textAlignment w:val="auto"/>
        <w:rPr>
          <w:rFonts w:hint="eastAsia"/>
          <w:b/>
          <w:bCs/>
          <w:sz w:val="36"/>
          <w:szCs w:val="44"/>
          <w:lang w:val="en-US" w:eastAsia="zh-CN"/>
        </w:rPr>
      </w:pPr>
      <w:r>
        <w:rPr>
          <w:rFonts w:hint="default"/>
          <w:b/>
          <w:bCs/>
          <w:sz w:val="36"/>
          <w:szCs w:val="44"/>
        </w:rPr>
        <w:t>发电机组继电保护数据核查服务</w:t>
      </w:r>
      <w:r>
        <w:rPr>
          <w:rFonts w:hint="eastAsia"/>
          <w:b/>
          <w:bCs/>
          <w:sz w:val="36"/>
          <w:szCs w:val="44"/>
          <w:lang w:val="en-US" w:eastAsia="zh-CN"/>
        </w:rPr>
        <w:t>方案</w:t>
      </w:r>
    </w:p>
    <w:p w14:paraId="50A4474A">
      <w:pPr>
        <w:pStyle w:val="2"/>
        <w:keepNext/>
        <w:keepLines/>
        <w:pageBreakBefore w:val="0"/>
        <w:widowControl w:val="0"/>
        <w:kinsoku/>
        <w:wordWrap/>
        <w:overflowPunct/>
        <w:topLinePunct w:val="0"/>
        <w:autoSpaceDE/>
        <w:autoSpaceDN/>
        <w:bidi w:val="0"/>
        <w:adjustRightInd/>
        <w:snapToGrid/>
        <w:spacing w:before="157" w:beforeLines="50" w:after="157" w:afterLines="50" w:line="360" w:lineRule="auto"/>
        <w:textAlignment w:val="auto"/>
        <w:rPr>
          <w:sz w:val="32"/>
          <w:szCs w:val="20"/>
        </w:rPr>
      </w:pPr>
      <w:r>
        <w:rPr>
          <w:rFonts w:hint="default"/>
          <w:sz w:val="32"/>
          <w:szCs w:val="20"/>
        </w:rPr>
        <w:t>一、项目概述</w:t>
      </w:r>
    </w:p>
    <w:p w14:paraId="771E967F">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36"/>
        </w:rPr>
      </w:pPr>
      <w:r>
        <w:rPr>
          <w:rFonts w:hint="default"/>
          <w:sz w:val="28"/>
          <w:szCs w:val="36"/>
        </w:rPr>
        <w:t>本方案适用于发电机组继电保护数据核查服务项目，旨在通过对发电机、变压器、励磁系统及厂用电系统等继电保护数据的全面技术调查、校核与风险评估，确保保护定值的准确性与合规性，保障发电机组及电网的安全稳定运行</w:t>
      </w:r>
      <w:r>
        <w:rPr>
          <w:rFonts w:hint="default"/>
          <w:sz w:val="28"/>
          <w:szCs w:val="36"/>
        </w:rPr>
        <w:fldChar w:fldCharType="begin"/>
      </w:r>
      <w:r>
        <w:rPr>
          <w:rFonts w:hint="default"/>
          <w:sz w:val="28"/>
          <w:szCs w:val="36"/>
        </w:rPr>
        <w:instrText xml:space="preserve"> HYPERLINK "http://www.gdtzb.com/g-zb-46759462.html"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w:t>
      </w:r>
    </w:p>
    <w:p w14:paraId="3472824C">
      <w:pPr>
        <w:pStyle w:val="2"/>
        <w:keepNext/>
        <w:keepLines/>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b/>
          <w:sz w:val="32"/>
          <w:szCs w:val="20"/>
        </w:rPr>
      </w:pPr>
      <w:r>
        <w:rPr>
          <w:rFonts w:hint="default"/>
          <w:b/>
          <w:sz w:val="32"/>
          <w:szCs w:val="20"/>
        </w:rPr>
        <w:t>二、编制依据</w:t>
      </w:r>
    </w:p>
    <w:p w14:paraId="754693A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核查工作应遵循以下主要标准规范：</w:t>
      </w:r>
    </w:p>
    <w:p w14:paraId="2EFFC2F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DL/T 684—2025《大型发电机变压器继电保护整定计算导则》 ——核心依据，规定了大型发电机变压器继电保护整定计算的总体要求、原则和方法</w:t>
      </w:r>
      <w:r>
        <w:rPr>
          <w:rFonts w:hint="default"/>
          <w:sz w:val="28"/>
          <w:szCs w:val="36"/>
        </w:rPr>
        <w:fldChar w:fldCharType="begin"/>
      </w:r>
      <w:r>
        <w:rPr>
          <w:rFonts w:hint="default"/>
          <w:sz w:val="28"/>
          <w:szCs w:val="36"/>
        </w:rPr>
        <w:instrText xml:space="preserve"> HYPERLINK "https://hbba.sacinfo.org.cn/stdDetail/052b55afbbc8070ad06b603a7e545fb67c07e693e998d3f871f4fd1b63e71e65"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。该标准于2025年9月28日发布，2026年3月28日实施，替代DL/T 684-2012</w:t>
      </w:r>
      <w:r>
        <w:rPr>
          <w:rFonts w:hint="default"/>
          <w:sz w:val="28"/>
          <w:szCs w:val="36"/>
        </w:rPr>
        <w:fldChar w:fldCharType="begin"/>
      </w:r>
      <w:r>
        <w:rPr>
          <w:rFonts w:hint="default"/>
          <w:sz w:val="28"/>
          <w:szCs w:val="36"/>
        </w:rPr>
        <w:instrText xml:space="preserve"> HYPERLINK "https://hbba.sacinfo.org.cn/stdDetail/052b55afbbc8070ad06b603a7e545fb67c07e693e998d3f871f4fd1b63e71e65"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w:t>
      </w:r>
    </w:p>
    <w:p w14:paraId="241E5D4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GB/T 14285—2006《继电保护和安全自动装置技术规程》 ——保护装置配置的基本技术要求。</w:t>
      </w:r>
    </w:p>
    <w:p w14:paraId="5FC2AF8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《防止电力生产重大事故的二十五项重点要求》 ——继电保护反事故措施要求。</w:t>
      </w:r>
    </w:p>
    <w:p w14:paraId="47F6AC6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电网调度机构下发的正式定值通知单及定值管理相关规定。</w:t>
      </w:r>
    </w:p>
    <w:p w14:paraId="3FEFACD6">
      <w:pPr>
        <w:pStyle w:val="2"/>
        <w:keepNext/>
        <w:keepLines/>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b/>
          <w:sz w:val="32"/>
          <w:szCs w:val="20"/>
        </w:rPr>
      </w:pPr>
      <w:r>
        <w:rPr>
          <w:rFonts w:hint="default"/>
          <w:b/>
          <w:sz w:val="32"/>
          <w:szCs w:val="20"/>
        </w:rPr>
        <w:t>三、核查范围与内容</w:t>
      </w:r>
    </w:p>
    <w:p w14:paraId="2D78B50C">
      <w:pPr>
        <w:keepNext w:val="0"/>
        <w:keepLines w:val="0"/>
        <w:pageBreakBefore w:val="0"/>
        <w:widowControl w:val="0"/>
        <w:kinsoku/>
        <w:wordWrap/>
        <w:overflowPunct/>
        <w:topLinePunct w:val="0"/>
        <w:autoSpaceDE/>
        <w:autoSpaceDN/>
        <w:bidi w:val="0"/>
        <w:adjustRightInd/>
        <w:snapToGrid/>
        <w:textAlignment w:val="auto"/>
        <w:rPr>
          <w:rFonts w:hint="default"/>
          <w:sz w:val="28"/>
          <w:szCs w:val="36"/>
        </w:rPr>
      </w:pPr>
      <w:r>
        <w:rPr>
          <w:rFonts w:hint="default"/>
          <w:sz w:val="28"/>
          <w:szCs w:val="36"/>
        </w:rPr>
        <w:t>3.1 核查范围</w:t>
      </w:r>
    </w:p>
    <w:p w14:paraId="16F2EC2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发电机组保护：发变组保护（含发电机保护、主变压器保护）</w:t>
      </w:r>
      <w:r>
        <w:rPr>
          <w:rFonts w:hint="default"/>
          <w:sz w:val="28"/>
          <w:szCs w:val="36"/>
        </w:rPr>
        <w:fldChar w:fldCharType="begin"/>
      </w:r>
      <w:r>
        <w:rPr>
          <w:rFonts w:hint="default"/>
          <w:sz w:val="28"/>
          <w:szCs w:val="36"/>
        </w:rPr>
        <w:instrText xml:space="preserve"> HYPERLINK "https://www.sdicpj.com/gtpj/gsxw/yxdt/webinfo/2026/05/1781746442990752.htm" \t "https://chat.deepseek.com/a/chat/s/_blank" </w:instrText>
      </w:r>
      <w:r>
        <w:rPr>
          <w:rFonts w:hint="default"/>
          <w:sz w:val="28"/>
          <w:szCs w:val="36"/>
        </w:rPr>
        <w:fldChar w:fldCharType="separate"/>
      </w:r>
      <w:r>
        <w:rPr>
          <w:rFonts w:hint="default"/>
          <w:sz w:val="28"/>
          <w:szCs w:val="36"/>
        </w:rPr>
        <w:fldChar w:fldCharType="end"/>
      </w:r>
    </w:p>
    <w:p w14:paraId="6FB1EE4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励磁系统参数：励磁调节器相关保护定值及参数</w:t>
      </w:r>
    </w:p>
    <w:p w14:paraId="6866003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厂用电系统保护：6kV及380V厂用电系统继电保护</w:t>
      </w:r>
      <w:r>
        <w:rPr>
          <w:rFonts w:hint="default"/>
          <w:sz w:val="28"/>
          <w:szCs w:val="36"/>
        </w:rPr>
        <w:fldChar w:fldCharType="begin"/>
      </w:r>
      <w:r>
        <w:rPr>
          <w:rFonts w:hint="default"/>
          <w:sz w:val="28"/>
          <w:szCs w:val="36"/>
        </w:rPr>
        <w:instrText xml:space="preserve"> HYPERLINK "http://www.gdtzb.com/g-zb-46759462.html" \t "https://chat.deepseek.com/a/chat/s/_blank" </w:instrText>
      </w:r>
      <w:r>
        <w:rPr>
          <w:rFonts w:hint="default"/>
          <w:sz w:val="28"/>
          <w:szCs w:val="36"/>
        </w:rPr>
        <w:fldChar w:fldCharType="separate"/>
      </w:r>
      <w:r>
        <w:rPr>
          <w:rFonts w:hint="default"/>
          <w:sz w:val="28"/>
          <w:szCs w:val="36"/>
        </w:rPr>
        <w:fldChar w:fldCharType="end"/>
      </w:r>
    </w:p>
    <w:p w14:paraId="72D05DD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启备变保护：#01启备变保护</w:t>
      </w:r>
    </w:p>
    <w:p w14:paraId="7A5EFE0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线路保护：送出线路保护（如220kV线路保护）</w:t>
      </w:r>
      <w:r>
        <w:rPr>
          <w:rFonts w:hint="default"/>
          <w:sz w:val="28"/>
          <w:szCs w:val="36"/>
        </w:rPr>
        <w:fldChar w:fldCharType="begin"/>
      </w:r>
      <w:r>
        <w:rPr>
          <w:rFonts w:hint="default"/>
          <w:sz w:val="28"/>
          <w:szCs w:val="36"/>
        </w:rPr>
        <w:instrText xml:space="preserve"> HYPERLINK "https://www.sdicpj.com/gtpj/gsxw/yxdt/webinfo/2026/05/1781746442990752.htm" \t "https://chat.deepseek.com/a/chat/s/_blank" </w:instrText>
      </w:r>
      <w:r>
        <w:rPr>
          <w:rFonts w:hint="default"/>
          <w:sz w:val="28"/>
          <w:szCs w:val="36"/>
        </w:rPr>
        <w:fldChar w:fldCharType="separate"/>
      </w:r>
      <w:r>
        <w:rPr>
          <w:rFonts w:hint="default"/>
          <w:sz w:val="28"/>
          <w:szCs w:val="36"/>
        </w:rPr>
        <w:fldChar w:fldCharType="end"/>
      </w:r>
    </w:p>
    <w:p w14:paraId="4F2AABA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母线保护及稳控装置：母线保护A/B套、稳控装置A/B套等</w:t>
      </w:r>
      <w:r>
        <w:rPr>
          <w:rFonts w:hint="default"/>
          <w:sz w:val="28"/>
          <w:szCs w:val="36"/>
        </w:rPr>
        <w:fldChar w:fldCharType="begin"/>
      </w:r>
      <w:r>
        <w:rPr>
          <w:rFonts w:hint="default"/>
          <w:sz w:val="28"/>
          <w:szCs w:val="36"/>
        </w:rPr>
        <w:instrText xml:space="preserve"> HYPERLINK "https://www.sdicpj.com/gtpj/gsxw/yxdt/webinfo/2026/05/1781746442990752.htm" \t "https://chat.deepseek.com/a/chat/s/_blank" </w:instrText>
      </w:r>
      <w:r>
        <w:rPr>
          <w:rFonts w:hint="default"/>
          <w:sz w:val="28"/>
          <w:szCs w:val="36"/>
        </w:rPr>
        <w:fldChar w:fldCharType="separate"/>
      </w:r>
      <w:r>
        <w:rPr>
          <w:rFonts w:hint="default"/>
          <w:sz w:val="28"/>
          <w:szCs w:val="36"/>
        </w:rPr>
        <w:fldChar w:fldCharType="end"/>
      </w:r>
    </w:p>
    <w:p w14:paraId="6350DB06">
      <w:pPr>
        <w:keepNext w:val="0"/>
        <w:keepLines w:val="0"/>
        <w:pageBreakBefore w:val="0"/>
        <w:widowControl w:val="0"/>
        <w:kinsoku/>
        <w:wordWrap/>
        <w:overflowPunct/>
        <w:topLinePunct w:val="0"/>
        <w:autoSpaceDE/>
        <w:autoSpaceDN/>
        <w:bidi w:val="0"/>
        <w:adjustRightInd/>
        <w:snapToGrid/>
        <w:textAlignment w:val="auto"/>
        <w:rPr>
          <w:rFonts w:hint="default"/>
          <w:sz w:val="28"/>
          <w:szCs w:val="36"/>
        </w:rPr>
      </w:pPr>
      <w:r>
        <w:rPr>
          <w:rFonts w:hint="default"/>
          <w:sz w:val="28"/>
          <w:szCs w:val="36"/>
        </w:rPr>
        <w:t>3.2 核查内容</w:t>
      </w:r>
    </w:p>
    <w:tbl>
      <w:tblPr>
        <w:tblStyle w:val="3"/>
        <w:tblW w:w="520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68"/>
        <w:gridCol w:w="2152"/>
        <w:gridCol w:w="5976"/>
      </w:tblGrid>
      <w:tr w14:paraId="53D8A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9" w:hRule="atLeast"/>
          <w:tblHeader/>
        </w:trPr>
        <w:tc>
          <w:tcPr>
            <w:tcW w:w="432" w:type="pct"/>
            <w:tcBorders>
              <w:top w:val="nil"/>
            </w:tcBorders>
            <w:shd w:val="clear" w:color="auto" w:fill="auto"/>
            <w:tcMar>
              <w:top w:w="150" w:type="dxa"/>
              <w:left w:w="0" w:type="dxa"/>
              <w:bottom w:w="150" w:type="dxa"/>
              <w:right w:w="240" w:type="dxa"/>
            </w:tcMar>
            <w:vAlign w:val="center"/>
          </w:tcPr>
          <w:p w14:paraId="373AD188">
            <w:pPr>
              <w:keepNext w:val="0"/>
              <w:keepLines w:val="0"/>
              <w:widowControl/>
              <w:suppressLineNumbers w:val="0"/>
              <w:spacing w:line="188" w:lineRule="atLeast"/>
              <w:jc w:val="left"/>
              <w:rPr>
                <w:rFonts w:hint="default" w:ascii="Segoe UI" w:hAnsi="Segoe UI" w:eastAsia="Segoe UI" w:cs="Segoe UI"/>
                <w:b/>
                <w:bCs/>
                <w:sz w:val="22"/>
                <w:szCs w:val="22"/>
              </w:rPr>
            </w:pPr>
            <w:r>
              <w:rPr>
                <w:rFonts w:hint="default" w:ascii="Segoe UI" w:hAnsi="Segoe UI" w:eastAsia="Segoe UI" w:cs="Segoe UI"/>
                <w:b/>
                <w:bCs/>
                <w:kern w:val="0"/>
                <w:sz w:val="22"/>
                <w:szCs w:val="22"/>
                <w:lang w:val="en-US" w:eastAsia="zh-CN" w:bidi="ar"/>
              </w:rPr>
              <w:t>序号</w:t>
            </w:r>
          </w:p>
        </w:tc>
        <w:tc>
          <w:tcPr>
            <w:tcW w:w="1209" w:type="pct"/>
            <w:tcBorders>
              <w:top w:val="nil"/>
            </w:tcBorders>
            <w:shd w:val="clear" w:color="auto" w:fill="auto"/>
            <w:tcMar>
              <w:top w:w="150" w:type="dxa"/>
              <w:left w:w="240" w:type="dxa"/>
              <w:bottom w:w="150" w:type="dxa"/>
              <w:right w:w="240" w:type="dxa"/>
            </w:tcMar>
            <w:vAlign w:val="center"/>
          </w:tcPr>
          <w:p w14:paraId="4DE47435">
            <w:pPr>
              <w:keepNext w:val="0"/>
              <w:keepLines w:val="0"/>
              <w:widowControl/>
              <w:suppressLineNumbers w:val="0"/>
              <w:spacing w:line="188" w:lineRule="atLeast"/>
              <w:jc w:val="left"/>
              <w:rPr>
                <w:rFonts w:hint="default" w:ascii="Segoe UI" w:hAnsi="Segoe UI" w:eastAsia="Segoe UI" w:cs="Segoe UI"/>
                <w:b/>
                <w:bCs/>
                <w:sz w:val="22"/>
                <w:szCs w:val="22"/>
              </w:rPr>
            </w:pPr>
            <w:r>
              <w:rPr>
                <w:rFonts w:hint="default" w:ascii="Segoe UI" w:hAnsi="Segoe UI" w:eastAsia="Segoe UI" w:cs="Segoe UI"/>
                <w:b/>
                <w:bCs/>
                <w:kern w:val="0"/>
                <w:sz w:val="22"/>
                <w:szCs w:val="22"/>
                <w:lang w:val="en-US" w:eastAsia="zh-CN" w:bidi="ar"/>
              </w:rPr>
              <w:t>核查项目</w:t>
            </w:r>
          </w:p>
        </w:tc>
        <w:tc>
          <w:tcPr>
            <w:tcW w:w="3358" w:type="pct"/>
            <w:tcBorders>
              <w:top w:val="nil"/>
            </w:tcBorders>
            <w:shd w:val="clear" w:color="auto" w:fill="auto"/>
            <w:tcMar>
              <w:top w:w="150" w:type="dxa"/>
              <w:left w:w="240" w:type="dxa"/>
              <w:bottom w:w="150" w:type="dxa"/>
              <w:right w:w="240" w:type="dxa"/>
            </w:tcMar>
            <w:vAlign w:val="center"/>
          </w:tcPr>
          <w:p w14:paraId="0642ABE4">
            <w:pPr>
              <w:keepNext w:val="0"/>
              <w:keepLines w:val="0"/>
              <w:widowControl/>
              <w:suppressLineNumbers w:val="0"/>
              <w:spacing w:line="188" w:lineRule="atLeast"/>
              <w:jc w:val="left"/>
              <w:rPr>
                <w:rFonts w:hint="default" w:ascii="Segoe UI" w:hAnsi="Segoe UI" w:eastAsia="Segoe UI" w:cs="Segoe UI"/>
                <w:b/>
                <w:bCs/>
                <w:sz w:val="22"/>
                <w:szCs w:val="22"/>
              </w:rPr>
            </w:pPr>
            <w:r>
              <w:rPr>
                <w:rFonts w:hint="default" w:ascii="Segoe UI" w:hAnsi="Segoe UI" w:eastAsia="Segoe UI" w:cs="Segoe UI"/>
                <w:b/>
                <w:bCs/>
                <w:kern w:val="0"/>
                <w:sz w:val="22"/>
                <w:szCs w:val="22"/>
                <w:lang w:val="en-US" w:eastAsia="zh-CN" w:bidi="ar"/>
              </w:rPr>
              <w:t>具体内容</w:t>
            </w:r>
          </w:p>
        </w:tc>
      </w:tr>
      <w:tr w14:paraId="51CA8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 w:hRule="atLeast"/>
        </w:trPr>
        <w:tc>
          <w:tcPr>
            <w:tcW w:w="432" w:type="pct"/>
            <w:shd w:val="clear" w:color="auto" w:fill="auto"/>
            <w:tcMar>
              <w:top w:w="150" w:type="dxa"/>
              <w:left w:w="0" w:type="dxa"/>
              <w:bottom w:w="150" w:type="dxa"/>
              <w:right w:w="240" w:type="dxa"/>
            </w:tcMar>
            <w:vAlign w:val="center"/>
          </w:tcPr>
          <w:p w14:paraId="1B63D763">
            <w:pPr>
              <w:keepNext w:val="0"/>
              <w:keepLines w:val="0"/>
              <w:widowControl/>
              <w:suppressLineNumbers w:val="0"/>
              <w:spacing w:line="188"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1</w:t>
            </w:r>
          </w:p>
        </w:tc>
        <w:tc>
          <w:tcPr>
            <w:tcW w:w="1209" w:type="pct"/>
            <w:shd w:val="clear" w:color="auto" w:fill="auto"/>
            <w:tcMar>
              <w:top w:w="150" w:type="dxa"/>
              <w:left w:w="240" w:type="dxa"/>
              <w:bottom w:w="150" w:type="dxa"/>
              <w:right w:w="240" w:type="dxa"/>
            </w:tcMar>
            <w:vAlign w:val="center"/>
          </w:tcPr>
          <w:p w14:paraId="172EAE6F">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定值参数核查</w:t>
            </w:r>
          </w:p>
        </w:tc>
        <w:tc>
          <w:tcPr>
            <w:tcW w:w="3358" w:type="pct"/>
            <w:shd w:val="clear" w:color="auto" w:fill="auto"/>
            <w:tcMar>
              <w:top w:w="150" w:type="dxa"/>
              <w:left w:w="240" w:type="dxa"/>
              <w:bottom w:w="150" w:type="dxa"/>
              <w:right w:w="0" w:type="dxa"/>
            </w:tcMar>
            <w:vAlign w:val="center"/>
          </w:tcPr>
          <w:p w14:paraId="5F920314">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逐项核对保护装置当前运行定值与正式定值通知单的一致性</w:t>
            </w:r>
          </w:p>
        </w:tc>
      </w:tr>
      <w:tr w14:paraId="0F258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1" w:hRule="atLeast"/>
        </w:trPr>
        <w:tc>
          <w:tcPr>
            <w:tcW w:w="432" w:type="pct"/>
            <w:shd w:val="clear" w:color="auto" w:fill="auto"/>
            <w:tcMar>
              <w:top w:w="150" w:type="dxa"/>
              <w:left w:w="0" w:type="dxa"/>
              <w:bottom w:w="150" w:type="dxa"/>
              <w:right w:w="240" w:type="dxa"/>
            </w:tcMar>
            <w:vAlign w:val="center"/>
          </w:tcPr>
          <w:p w14:paraId="0D89D1CE">
            <w:pPr>
              <w:keepNext w:val="0"/>
              <w:keepLines w:val="0"/>
              <w:widowControl/>
              <w:suppressLineNumbers w:val="0"/>
              <w:spacing w:line="188"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2</w:t>
            </w:r>
          </w:p>
        </w:tc>
        <w:tc>
          <w:tcPr>
            <w:tcW w:w="1209" w:type="pct"/>
            <w:shd w:val="clear" w:color="auto" w:fill="auto"/>
            <w:tcMar>
              <w:top w:w="150" w:type="dxa"/>
              <w:left w:w="240" w:type="dxa"/>
              <w:bottom w:w="150" w:type="dxa"/>
              <w:right w:w="240" w:type="dxa"/>
            </w:tcMar>
            <w:vAlign w:val="center"/>
          </w:tcPr>
          <w:p w14:paraId="6B6FAA3E">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保护功能核查</w:t>
            </w:r>
          </w:p>
        </w:tc>
        <w:tc>
          <w:tcPr>
            <w:tcW w:w="3358" w:type="pct"/>
            <w:shd w:val="clear" w:color="auto" w:fill="auto"/>
            <w:tcMar>
              <w:top w:w="150" w:type="dxa"/>
              <w:left w:w="240" w:type="dxa"/>
              <w:bottom w:w="150" w:type="dxa"/>
              <w:right w:w="0" w:type="dxa"/>
            </w:tcMar>
            <w:vAlign w:val="center"/>
          </w:tcPr>
          <w:p w14:paraId="62BDD7FA">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核查各保护功能的配置完整性、逻辑正确性</w:t>
            </w:r>
          </w:p>
        </w:tc>
      </w:tr>
      <w:tr w14:paraId="5CCCD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7" w:hRule="atLeast"/>
        </w:trPr>
        <w:tc>
          <w:tcPr>
            <w:tcW w:w="432" w:type="pct"/>
            <w:shd w:val="clear" w:color="auto" w:fill="auto"/>
            <w:tcMar>
              <w:top w:w="150" w:type="dxa"/>
              <w:left w:w="0" w:type="dxa"/>
              <w:bottom w:w="150" w:type="dxa"/>
              <w:right w:w="240" w:type="dxa"/>
            </w:tcMar>
            <w:vAlign w:val="center"/>
          </w:tcPr>
          <w:p w14:paraId="144F6229">
            <w:pPr>
              <w:keepNext w:val="0"/>
              <w:keepLines w:val="0"/>
              <w:widowControl/>
              <w:suppressLineNumbers w:val="0"/>
              <w:spacing w:line="188"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3</w:t>
            </w:r>
          </w:p>
        </w:tc>
        <w:tc>
          <w:tcPr>
            <w:tcW w:w="1209" w:type="pct"/>
            <w:shd w:val="clear" w:color="auto" w:fill="auto"/>
            <w:tcMar>
              <w:top w:w="150" w:type="dxa"/>
              <w:left w:w="240" w:type="dxa"/>
              <w:bottom w:w="150" w:type="dxa"/>
              <w:right w:w="240" w:type="dxa"/>
            </w:tcMar>
            <w:vAlign w:val="center"/>
          </w:tcPr>
          <w:p w14:paraId="217A5D17">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压板投退状态核查</w:t>
            </w:r>
          </w:p>
        </w:tc>
        <w:tc>
          <w:tcPr>
            <w:tcW w:w="3358" w:type="pct"/>
            <w:shd w:val="clear" w:color="auto" w:fill="auto"/>
            <w:tcMar>
              <w:top w:w="150" w:type="dxa"/>
              <w:left w:w="240" w:type="dxa"/>
              <w:bottom w:w="150" w:type="dxa"/>
              <w:right w:w="0" w:type="dxa"/>
            </w:tcMar>
            <w:vAlign w:val="center"/>
          </w:tcPr>
          <w:p w14:paraId="2FED69BB">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检查保护压板名称和投退状态是否符合运行要求</w:t>
            </w:r>
          </w:p>
        </w:tc>
      </w:tr>
      <w:tr w14:paraId="74491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432" w:type="pct"/>
            <w:shd w:val="clear" w:color="auto" w:fill="auto"/>
            <w:tcMar>
              <w:top w:w="150" w:type="dxa"/>
              <w:left w:w="0" w:type="dxa"/>
              <w:bottom w:w="150" w:type="dxa"/>
              <w:right w:w="240" w:type="dxa"/>
            </w:tcMar>
            <w:vAlign w:val="center"/>
          </w:tcPr>
          <w:p w14:paraId="7B5C05DA">
            <w:pPr>
              <w:keepNext w:val="0"/>
              <w:keepLines w:val="0"/>
              <w:widowControl/>
              <w:suppressLineNumbers w:val="0"/>
              <w:spacing w:line="188"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4</w:t>
            </w:r>
          </w:p>
        </w:tc>
        <w:tc>
          <w:tcPr>
            <w:tcW w:w="1209" w:type="pct"/>
            <w:shd w:val="clear" w:color="auto" w:fill="auto"/>
            <w:tcMar>
              <w:top w:w="150" w:type="dxa"/>
              <w:left w:w="240" w:type="dxa"/>
              <w:bottom w:w="150" w:type="dxa"/>
              <w:right w:w="240" w:type="dxa"/>
            </w:tcMar>
            <w:vAlign w:val="center"/>
          </w:tcPr>
          <w:p w14:paraId="5FA20B54">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软件版本核查</w:t>
            </w:r>
          </w:p>
        </w:tc>
        <w:tc>
          <w:tcPr>
            <w:tcW w:w="3358" w:type="pct"/>
            <w:shd w:val="clear" w:color="auto" w:fill="auto"/>
            <w:tcMar>
              <w:top w:w="150" w:type="dxa"/>
              <w:left w:w="240" w:type="dxa"/>
              <w:bottom w:w="150" w:type="dxa"/>
              <w:right w:w="0" w:type="dxa"/>
            </w:tcMar>
            <w:vAlign w:val="center"/>
          </w:tcPr>
          <w:p w14:paraId="7EDDCCFC">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核对保护装置软件版本号、校验码，与历史记录比对</w:t>
            </w:r>
          </w:p>
        </w:tc>
      </w:tr>
      <w:tr w14:paraId="094E0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432" w:type="pct"/>
            <w:shd w:val="clear" w:color="auto" w:fill="auto"/>
            <w:tcMar>
              <w:top w:w="150" w:type="dxa"/>
              <w:left w:w="0" w:type="dxa"/>
              <w:bottom w:w="150" w:type="dxa"/>
              <w:right w:w="240" w:type="dxa"/>
            </w:tcMar>
            <w:vAlign w:val="center"/>
          </w:tcPr>
          <w:p w14:paraId="05D4DED2">
            <w:pPr>
              <w:keepNext w:val="0"/>
              <w:keepLines w:val="0"/>
              <w:widowControl/>
              <w:suppressLineNumbers w:val="0"/>
              <w:spacing w:line="188"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5</w:t>
            </w:r>
          </w:p>
        </w:tc>
        <w:tc>
          <w:tcPr>
            <w:tcW w:w="1209" w:type="pct"/>
            <w:shd w:val="clear" w:color="auto" w:fill="auto"/>
            <w:tcMar>
              <w:top w:w="150" w:type="dxa"/>
              <w:left w:w="240" w:type="dxa"/>
              <w:bottom w:w="150" w:type="dxa"/>
              <w:right w:w="240" w:type="dxa"/>
            </w:tcMar>
            <w:vAlign w:val="center"/>
          </w:tcPr>
          <w:p w14:paraId="67FAF9F8">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二次回路核查</w:t>
            </w:r>
          </w:p>
        </w:tc>
        <w:tc>
          <w:tcPr>
            <w:tcW w:w="3358" w:type="pct"/>
            <w:shd w:val="clear" w:color="auto" w:fill="auto"/>
            <w:tcMar>
              <w:top w:w="150" w:type="dxa"/>
              <w:left w:w="240" w:type="dxa"/>
              <w:bottom w:w="150" w:type="dxa"/>
              <w:right w:w="0" w:type="dxa"/>
            </w:tcMar>
            <w:vAlign w:val="center"/>
          </w:tcPr>
          <w:p w14:paraId="2D28363A">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以设计图纸为依据，逐一对二次回路接线、端子图进行比对</w:t>
            </w:r>
          </w:p>
        </w:tc>
      </w:tr>
      <w:tr w14:paraId="6A440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9" w:hRule="atLeast"/>
        </w:trPr>
        <w:tc>
          <w:tcPr>
            <w:tcW w:w="432" w:type="pct"/>
            <w:shd w:val="clear" w:color="auto" w:fill="auto"/>
            <w:tcMar>
              <w:top w:w="150" w:type="dxa"/>
              <w:left w:w="0" w:type="dxa"/>
              <w:bottom w:w="150" w:type="dxa"/>
              <w:right w:w="240" w:type="dxa"/>
            </w:tcMar>
            <w:vAlign w:val="center"/>
          </w:tcPr>
          <w:p w14:paraId="4007FE8A">
            <w:pPr>
              <w:keepNext w:val="0"/>
              <w:keepLines w:val="0"/>
              <w:widowControl/>
              <w:suppressLineNumbers w:val="0"/>
              <w:spacing w:line="188" w:lineRule="atLeast"/>
              <w:jc w:val="center"/>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6</w:t>
            </w:r>
          </w:p>
        </w:tc>
        <w:tc>
          <w:tcPr>
            <w:tcW w:w="1209" w:type="pct"/>
            <w:shd w:val="clear" w:color="auto" w:fill="auto"/>
            <w:tcMar>
              <w:top w:w="150" w:type="dxa"/>
              <w:left w:w="240" w:type="dxa"/>
              <w:bottom w:w="150" w:type="dxa"/>
              <w:right w:w="240" w:type="dxa"/>
            </w:tcMar>
            <w:vAlign w:val="center"/>
          </w:tcPr>
          <w:p w14:paraId="10455B13">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定值复算与校核</w:t>
            </w:r>
          </w:p>
        </w:tc>
        <w:tc>
          <w:tcPr>
            <w:tcW w:w="3358" w:type="pct"/>
            <w:shd w:val="clear" w:color="auto" w:fill="auto"/>
            <w:tcMar>
              <w:top w:w="150" w:type="dxa"/>
              <w:left w:w="240" w:type="dxa"/>
              <w:bottom w:w="150" w:type="dxa"/>
              <w:right w:w="0" w:type="dxa"/>
            </w:tcMar>
            <w:vAlign w:val="center"/>
          </w:tcPr>
          <w:p w14:paraId="15560C84">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依据DL/T 684-2025进行保护定值的复算与校核</w:t>
            </w:r>
            <w:r>
              <w:rPr>
                <w:rFonts w:hint="default" w:ascii="Segoe UI" w:hAnsi="Segoe UI" w:eastAsia="Segoe UI" w:cs="Segoe UI"/>
                <w:color w:val="679EFE"/>
                <w:kern w:val="0"/>
                <w:sz w:val="22"/>
                <w:szCs w:val="22"/>
                <w:u w:val="none"/>
                <w:bdr w:val="single" w:color="auto" w:sz="8" w:space="0"/>
                <w:lang w:val="en-US" w:eastAsia="zh-CN" w:bidi="ar"/>
              </w:rPr>
              <w:fldChar w:fldCharType="begin"/>
            </w:r>
            <w:r>
              <w:rPr>
                <w:rFonts w:hint="default" w:ascii="Segoe UI" w:hAnsi="Segoe UI" w:eastAsia="Segoe UI" w:cs="Segoe UI"/>
                <w:color w:val="679EFE"/>
                <w:kern w:val="0"/>
                <w:sz w:val="22"/>
                <w:szCs w:val="22"/>
                <w:u w:val="none"/>
                <w:bdr w:val="single" w:color="auto" w:sz="8" w:space="0"/>
                <w:lang w:val="en-US" w:eastAsia="zh-CN" w:bidi="ar"/>
              </w:rPr>
              <w:instrText xml:space="preserve"> HYPERLINK "http://www.gdtzb.com/g-zb-46759462.html" \t "https://chat.deepseek.com/a/chat/s/_blank" </w:instrText>
            </w:r>
            <w:r>
              <w:rPr>
                <w:rFonts w:hint="default" w:ascii="Segoe UI" w:hAnsi="Segoe UI" w:eastAsia="Segoe UI" w:cs="Segoe UI"/>
                <w:color w:val="679EFE"/>
                <w:kern w:val="0"/>
                <w:sz w:val="22"/>
                <w:szCs w:val="22"/>
                <w:u w:val="none"/>
                <w:bdr w:val="single" w:color="auto" w:sz="8" w:space="0"/>
                <w:lang w:val="en-US" w:eastAsia="zh-CN" w:bidi="ar"/>
              </w:rPr>
              <w:fldChar w:fldCharType="separate"/>
            </w:r>
            <w:r>
              <w:rPr>
                <w:rFonts w:hint="default" w:ascii="Segoe UI" w:hAnsi="Segoe UI" w:eastAsia="Segoe UI" w:cs="Segoe UI"/>
                <w:color w:val="679EFE"/>
                <w:kern w:val="0"/>
                <w:sz w:val="22"/>
                <w:szCs w:val="22"/>
                <w:u w:val="none"/>
                <w:bdr w:val="single" w:color="auto" w:sz="8" w:space="0"/>
                <w:lang w:val="en-US" w:eastAsia="zh-CN" w:bidi="ar"/>
              </w:rPr>
              <w:fldChar w:fldCharType="end"/>
            </w:r>
          </w:p>
        </w:tc>
      </w:tr>
    </w:tbl>
    <w:p w14:paraId="64DCADBC">
      <w:pPr>
        <w:pStyle w:val="2"/>
        <w:keepNext/>
        <w:keepLines/>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b/>
          <w:sz w:val="32"/>
          <w:szCs w:val="20"/>
        </w:rPr>
      </w:pPr>
      <w:r>
        <w:rPr>
          <w:rFonts w:hint="default"/>
          <w:b/>
          <w:sz w:val="32"/>
          <w:szCs w:val="20"/>
        </w:rPr>
        <w:t>四、技术路线与方法</w:t>
      </w:r>
    </w:p>
    <w:p w14:paraId="2F680ADB">
      <w:pPr>
        <w:keepNext w:val="0"/>
        <w:keepLines w:val="0"/>
        <w:pageBreakBefore w:val="0"/>
        <w:widowControl w:val="0"/>
        <w:kinsoku/>
        <w:wordWrap/>
        <w:overflowPunct/>
        <w:topLinePunct w:val="0"/>
        <w:autoSpaceDE/>
        <w:autoSpaceDN/>
        <w:bidi w:val="0"/>
        <w:adjustRightInd/>
        <w:snapToGrid/>
        <w:textAlignment w:val="auto"/>
        <w:rPr>
          <w:rFonts w:hint="default"/>
          <w:sz w:val="28"/>
          <w:szCs w:val="36"/>
        </w:rPr>
      </w:pPr>
      <w:r>
        <w:rPr>
          <w:rFonts w:hint="default"/>
          <w:sz w:val="28"/>
          <w:szCs w:val="36"/>
        </w:rPr>
        <w:t>4.1 技术路线</w:t>
      </w:r>
    </w:p>
    <w:p w14:paraId="5CE139C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采用 “数据采集→定值核对→复算校核→风险评估→成果编制” 五阶段技术路线：</w:t>
      </w:r>
    </w:p>
    <w:p w14:paraId="378F60C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数据采集阶段：通过保护装置打印口或通信接口获取装置内当前定值数据</w:t>
      </w:r>
      <w:r>
        <w:rPr>
          <w:rFonts w:hint="default"/>
          <w:sz w:val="28"/>
          <w:szCs w:val="36"/>
        </w:rPr>
        <w:fldChar w:fldCharType="begin"/>
      </w:r>
      <w:r>
        <w:rPr>
          <w:rFonts w:hint="default"/>
          <w:sz w:val="28"/>
          <w:szCs w:val="36"/>
        </w:rPr>
        <w:instrText xml:space="preserve"> HYPERLINK "https://search.napstic.cn/literature/periodical/010dbgcytgcs202405011"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；收集设计图纸、定值通知单、检修记录等基础资料。</w:t>
      </w:r>
    </w:p>
    <w:p w14:paraId="162DA63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定值核对阶段：将现场运行定值与正式定值通知单逐项比对，可采用人工核对与工具辅助核对相结合的方式</w:t>
      </w:r>
      <w:r>
        <w:rPr>
          <w:rFonts w:hint="default"/>
          <w:sz w:val="28"/>
          <w:szCs w:val="36"/>
        </w:rPr>
        <w:fldChar w:fldCharType="begin"/>
      </w:r>
      <w:r>
        <w:rPr>
          <w:rFonts w:hint="default"/>
          <w:sz w:val="28"/>
          <w:szCs w:val="36"/>
        </w:rPr>
        <w:instrText xml:space="preserve"> HYPERLINK "https://search.napstic.cn/literature/periodical/010dbgcytgcs202405011"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w:t>
      </w:r>
    </w:p>
    <w:p w14:paraId="0A89777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复算校核阶段：依据DL/T 684-2025标准，对关键保护定值进行复算验证。</w:t>
      </w:r>
    </w:p>
    <w:p w14:paraId="5CD3448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风险评估阶段：评估定值偏差或配置不当对发电机组及电网的潜在影响。</w:t>
      </w:r>
    </w:p>
    <w:p w14:paraId="530F207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成果编制阶段：编制《继电保护定值计算书》和《继电保护定值清单》</w:t>
      </w:r>
      <w:r>
        <w:rPr>
          <w:rFonts w:hint="default"/>
          <w:sz w:val="28"/>
          <w:szCs w:val="36"/>
        </w:rPr>
        <w:fldChar w:fldCharType="begin"/>
      </w:r>
      <w:r>
        <w:rPr>
          <w:rFonts w:hint="default"/>
          <w:sz w:val="28"/>
          <w:szCs w:val="36"/>
        </w:rPr>
        <w:instrText xml:space="preserve"> HYPERLINK "http://www.gdtzb.com/g-zb-46759462.html"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w:t>
      </w:r>
    </w:p>
    <w:p w14:paraId="44DA3BE1">
      <w:pPr>
        <w:keepNext w:val="0"/>
        <w:keepLines w:val="0"/>
        <w:pageBreakBefore w:val="0"/>
        <w:widowControl w:val="0"/>
        <w:kinsoku/>
        <w:wordWrap/>
        <w:overflowPunct/>
        <w:topLinePunct w:val="0"/>
        <w:autoSpaceDE/>
        <w:autoSpaceDN/>
        <w:bidi w:val="0"/>
        <w:adjustRightInd/>
        <w:snapToGrid/>
        <w:textAlignment w:val="auto"/>
        <w:rPr>
          <w:rFonts w:hint="default"/>
          <w:sz w:val="28"/>
          <w:szCs w:val="36"/>
        </w:rPr>
      </w:pPr>
      <w:r>
        <w:rPr>
          <w:rFonts w:hint="default"/>
          <w:sz w:val="28"/>
          <w:szCs w:val="36"/>
        </w:rPr>
        <w:t>4.2 核对方法</w:t>
      </w:r>
    </w:p>
    <w:p w14:paraId="40B7848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（1）人工核对法</w:t>
      </w:r>
    </w:p>
    <w:p w14:paraId="2F85CB4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目前发电厂保护定值核对普遍采用人工方式，通过打印保护装置内定值单，再与计划定值单进行人工比对</w:t>
      </w:r>
      <w:r>
        <w:rPr>
          <w:rFonts w:hint="default"/>
          <w:sz w:val="28"/>
          <w:szCs w:val="36"/>
        </w:rPr>
        <w:fldChar w:fldCharType="begin"/>
      </w:r>
      <w:r>
        <w:rPr>
          <w:rFonts w:hint="default"/>
          <w:sz w:val="28"/>
          <w:szCs w:val="36"/>
        </w:rPr>
        <w:instrText xml:space="preserve"> HYPERLINK "https://search.napstic.cn/literature/periodical/010dbgcytgcs202405011"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。建议采用三人复核校验机制</w:t>
      </w:r>
      <w:r>
        <w:rPr>
          <w:rFonts w:hint="default"/>
          <w:sz w:val="28"/>
          <w:szCs w:val="36"/>
        </w:rPr>
        <w:fldChar w:fldCharType="begin"/>
      </w:r>
      <w:r>
        <w:rPr>
          <w:rFonts w:hint="default"/>
          <w:sz w:val="28"/>
          <w:szCs w:val="36"/>
        </w:rPr>
        <w:instrText xml:space="preserve"> HYPERLINK "https://www.sdicpj.com/gtpj/gsxw/yxdt/webinfo/2026/05/1781746442990752.htm"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w:t>
      </w:r>
    </w:p>
    <w:p w14:paraId="18518E2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一人对照官方正式定值单进行标准核验</w:t>
      </w:r>
      <w:r>
        <w:rPr>
          <w:rFonts w:hint="default"/>
          <w:sz w:val="28"/>
          <w:szCs w:val="36"/>
        </w:rPr>
        <w:fldChar w:fldCharType="begin"/>
      </w:r>
      <w:r>
        <w:rPr>
          <w:rFonts w:hint="default"/>
          <w:sz w:val="28"/>
          <w:szCs w:val="36"/>
        </w:rPr>
        <w:instrText xml:space="preserve"> HYPERLINK "https://www.sdicpj.com/gtpj/gsxw/yxdt/webinfo/2026/05/1781746442990752.htm" \t "https://chat.deepseek.com/a/chat/s/_blank" </w:instrText>
      </w:r>
      <w:r>
        <w:rPr>
          <w:rFonts w:hint="default"/>
          <w:sz w:val="28"/>
          <w:szCs w:val="36"/>
        </w:rPr>
        <w:fldChar w:fldCharType="separate"/>
      </w:r>
      <w:r>
        <w:rPr>
          <w:rFonts w:hint="default"/>
          <w:sz w:val="28"/>
          <w:szCs w:val="36"/>
        </w:rPr>
        <w:fldChar w:fldCharType="end"/>
      </w:r>
    </w:p>
    <w:p w14:paraId="56542D6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一人核对保护装置打印定值单据</w:t>
      </w:r>
      <w:r>
        <w:rPr>
          <w:rFonts w:hint="default"/>
          <w:sz w:val="28"/>
          <w:szCs w:val="36"/>
        </w:rPr>
        <w:fldChar w:fldCharType="begin"/>
      </w:r>
      <w:r>
        <w:rPr>
          <w:rFonts w:hint="default"/>
          <w:sz w:val="28"/>
          <w:szCs w:val="36"/>
        </w:rPr>
        <w:instrText xml:space="preserve"> HYPERLINK "https://www.sdicpj.com/gtpj/gsxw/yxdt/webinfo/2026/05/1781746442990752.htm" \t "https://chat.deepseek.com/a/chat/s/_blank" </w:instrText>
      </w:r>
      <w:r>
        <w:rPr>
          <w:rFonts w:hint="default"/>
          <w:sz w:val="28"/>
          <w:szCs w:val="36"/>
        </w:rPr>
        <w:fldChar w:fldCharType="separate"/>
      </w:r>
      <w:r>
        <w:rPr>
          <w:rFonts w:hint="default"/>
          <w:sz w:val="28"/>
          <w:szCs w:val="36"/>
        </w:rPr>
        <w:fldChar w:fldCharType="end"/>
      </w:r>
    </w:p>
    <w:p w14:paraId="15AFD66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一人现场核查保护装置定值参数</w:t>
      </w:r>
      <w:r>
        <w:rPr>
          <w:rFonts w:hint="default"/>
          <w:sz w:val="28"/>
          <w:szCs w:val="36"/>
        </w:rPr>
        <w:fldChar w:fldCharType="begin"/>
      </w:r>
      <w:r>
        <w:rPr>
          <w:rFonts w:hint="default"/>
          <w:sz w:val="28"/>
          <w:szCs w:val="36"/>
        </w:rPr>
        <w:instrText xml:space="preserve"> HYPERLINK "https://www.sdicpj.com/gtpj/gsxw/yxdt/webinfo/2026/05/1781746442990752.htm" \t "https://chat.deepseek.com/a/chat/s/_blank" </w:instrText>
      </w:r>
      <w:r>
        <w:rPr>
          <w:rFonts w:hint="default"/>
          <w:sz w:val="28"/>
          <w:szCs w:val="36"/>
        </w:rPr>
        <w:fldChar w:fldCharType="separate"/>
      </w:r>
      <w:r>
        <w:rPr>
          <w:rFonts w:hint="default"/>
          <w:sz w:val="28"/>
          <w:szCs w:val="36"/>
        </w:rPr>
        <w:fldChar w:fldCharType="end"/>
      </w:r>
    </w:p>
    <w:p w14:paraId="45C1636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通过三方交叉核对、层层校验，全方位杜绝漏核、错核</w:t>
      </w:r>
      <w:r>
        <w:rPr>
          <w:rFonts w:hint="default"/>
          <w:sz w:val="28"/>
          <w:szCs w:val="36"/>
        </w:rPr>
        <w:fldChar w:fldCharType="begin"/>
      </w:r>
      <w:r>
        <w:rPr>
          <w:rFonts w:hint="default"/>
          <w:sz w:val="28"/>
          <w:szCs w:val="36"/>
        </w:rPr>
        <w:instrText xml:space="preserve"> HYPERLINK "https://www.sdicpj.com/gtpj/gsxw/yxdt/webinfo/2026/05/1781746442990752.htm"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w:t>
      </w:r>
    </w:p>
    <w:p w14:paraId="1266697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（2）辅助工具核对法</w:t>
      </w:r>
    </w:p>
    <w:p w14:paraId="33592CA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可采用便携式继电保护设备多源信息运检装置，通过保护装置打印口获取定值数据，实现虚拟定值打印</w:t>
      </w:r>
      <w:r>
        <w:rPr>
          <w:rFonts w:hint="default"/>
          <w:sz w:val="28"/>
          <w:szCs w:val="36"/>
        </w:rPr>
        <w:fldChar w:fldCharType="begin"/>
      </w:r>
      <w:r>
        <w:rPr>
          <w:rFonts w:hint="default"/>
          <w:sz w:val="28"/>
          <w:szCs w:val="36"/>
        </w:rPr>
        <w:instrText xml:space="preserve"> HYPERLINK "https://search.napstic.cn/literature/periodical/010dbgcytgcs202405011"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。该装置支持两种核对模式</w:t>
      </w:r>
      <w:r>
        <w:rPr>
          <w:rFonts w:hint="default"/>
          <w:sz w:val="28"/>
          <w:szCs w:val="36"/>
        </w:rPr>
        <w:fldChar w:fldCharType="begin"/>
      </w:r>
      <w:r>
        <w:rPr>
          <w:rFonts w:hint="default"/>
          <w:sz w:val="28"/>
          <w:szCs w:val="36"/>
        </w:rPr>
        <w:instrText xml:space="preserve"> HYPERLINK "https://search.napstic.cn/literature/periodical/010dbgcytgcs202405011"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w:t>
      </w:r>
    </w:p>
    <w:p w14:paraId="2F83F9D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自动核对模式：通过比较泛型表达式的值，自动比对装置当前整定值与预设值</w:t>
      </w:r>
      <w:r>
        <w:rPr>
          <w:rFonts w:hint="default"/>
          <w:sz w:val="28"/>
          <w:szCs w:val="36"/>
        </w:rPr>
        <w:fldChar w:fldCharType="begin"/>
      </w:r>
      <w:r>
        <w:rPr>
          <w:rFonts w:hint="default"/>
          <w:sz w:val="28"/>
          <w:szCs w:val="36"/>
        </w:rPr>
        <w:instrText xml:space="preserve"> HYPERLINK "https://search.napstic.cn/literature/periodical/010dbgcytgcs202405011" \t "https://chat.deepseek.com/a/chat/s/_blank" </w:instrText>
      </w:r>
      <w:r>
        <w:rPr>
          <w:rFonts w:hint="default"/>
          <w:sz w:val="28"/>
          <w:szCs w:val="36"/>
        </w:rPr>
        <w:fldChar w:fldCharType="separate"/>
      </w:r>
      <w:r>
        <w:rPr>
          <w:rFonts w:hint="default"/>
          <w:sz w:val="28"/>
          <w:szCs w:val="36"/>
        </w:rPr>
        <w:fldChar w:fldCharType="end"/>
      </w:r>
    </w:p>
    <w:p w14:paraId="2F89617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图像比对模式：利用PDF文件线性识别字符法对文本分类，通过余弦异同度进行精确比较</w:t>
      </w:r>
      <w:r>
        <w:rPr>
          <w:rFonts w:hint="default"/>
          <w:sz w:val="28"/>
          <w:szCs w:val="36"/>
        </w:rPr>
        <w:fldChar w:fldCharType="begin"/>
      </w:r>
      <w:r>
        <w:rPr>
          <w:rFonts w:hint="default"/>
          <w:sz w:val="28"/>
          <w:szCs w:val="36"/>
        </w:rPr>
        <w:instrText xml:space="preserve"> HYPERLINK "https://search.napstic.cn/literature/periodical/010dbgcytgcs202405011" \t "https://chat.deepseek.com/a/chat/s/_blank" </w:instrText>
      </w:r>
      <w:r>
        <w:rPr>
          <w:rFonts w:hint="default"/>
          <w:sz w:val="28"/>
          <w:szCs w:val="36"/>
        </w:rPr>
        <w:fldChar w:fldCharType="separate"/>
      </w:r>
      <w:r>
        <w:rPr>
          <w:rFonts w:hint="default"/>
          <w:sz w:val="28"/>
          <w:szCs w:val="36"/>
        </w:rPr>
        <w:fldChar w:fldCharType="end"/>
      </w:r>
    </w:p>
    <w:p w14:paraId="7123060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（3）定值误差控制标准</w:t>
      </w:r>
    </w:p>
    <w:p w14:paraId="6CF079C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根据相关反事故技术措施要求：</w:t>
      </w:r>
    </w:p>
    <w:p w14:paraId="04124D1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控制字定值必须完全相同</w:t>
      </w:r>
    </w:p>
    <w:p w14:paraId="2C94655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起动值误差小于10%</w:t>
      </w:r>
    </w:p>
    <w:p w14:paraId="4587653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其他各项定值误差小于1%</w:t>
      </w:r>
    </w:p>
    <w:p w14:paraId="501EC9F1">
      <w:pPr>
        <w:pStyle w:val="2"/>
        <w:keepNext/>
        <w:keepLines/>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b/>
          <w:sz w:val="32"/>
          <w:szCs w:val="20"/>
        </w:rPr>
      </w:pPr>
      <w:r>
        <w:rPr>
          <w:rFonts w:hint="default"/>
          <w:b/>
          <w:sz w:val="32"/>
          <w:szCs w:val="20"/>
        </w:rPr>
        <w:t>五、实施流程</w:t>
      </w:r>
    </w:p>
    <w:p w14:paraId="63FA0EA2">
      <w:pPr>
        <w:keepNext w:val="0"/>
        <w:keepLines w:val="0"/>
        <w:pageBreakBefore w:val="0"/>
        <w:widowControl w:val="0"/>
        <w:kinsoku/>
        <w:wordWrap/>
        <w:overflowPunct/>
        <w:topLinePunct w:val="0"/>
        <w:autoSpaceDE/>
        <w:autoSpaceDN/>
        <w:bidi w:val="0"/>
        <w:adjustRightInd/>
        <w:snapToGrid/>
        <w:textAlignment w:val="auto"/>
        <w:rPr>
          <w:rFonts w:hint="default"/>
          <w:sz w:val="28"/>
          <w:szCs w:val="36"/>
        </w:rPr>
      </w:pPr>
      <w:r>
        <w:rPr>
          <w:rFonts w:hint="default"/>
          <w:sz w:val="28"/>
          <w:szCs w:val="36"/>
        </w:rPr>
        <w:t>5.1 准备阶段</w:t>
      </w:r>
    </w:p>
    <w:p w14:paraId="75F92FE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资料收集：收集正式定值通知单、设计图纸、设备台账、历史校验记录等</w:t>
      </w:r>
    </w:p>
    <w:p w14:paraId="265E2AC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人员组织：组建核查工作组，明确分工与职责</w:t>
      </w:r>
      <w:r>
        <w:rPr>
          <w:rFonts w:hint="default"/>
          <w:sz w:val="28"/>
          <w:szCs w:val="36"/>
        </w:rPr>
        <w:fldChar w:fldCharType="begin"/>
      </w:r>
      <w:r>
        <w:rPr>
          <w:rFonts w:hint="default"/>
          <w:sz w:val="28"/>
          <w:szCs w:val="36"/>
        </w:rPr>
        <w:instrText xml:space="preserve"> HYPERLINK "https://www.sdicpj.com/gtpj/gsxw/yxdt/webinfo/2026/05/1781746442990752.htm" \t "https://chat.deepseek.com/a/chat/s/_blank" </w:instrText>
      </w:r>
      <w:r>
        <w:rPr>
          <w:rFonts w:hint="default"/>
          <w:sz w:val="28"/>
          <w:szCs w:val="36"/>
        </w:rPr>
        <w:fldChar w:fldCharType="separate"/>
      </w:r>
      <w:r>
        <w:rPr>
          <w:rFonts w:hint="default"/>
          <w:sz w:val="28"/>
          <w:szCs w:val="36"/>
        </w:rPr>
        <w:fldChar w:fldCharType="end"/>
      </w:r>
    </w:p>
    <w:p w14:paraId="27F4967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方案编制：编制详细的核查工作计划与作业指导书</w:t>
      </w:r>
    </w:p>
    <w:p w14:paraId="10F1405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工器具准备：准备保护定值打印设备、便携式核对装置、拍照记录设备等</w:t>
      </w:r>
      <w:r>
        <w:rPr>
          <w:rFonts w:hint="default"/>
          <w:sz w:val="28"/>
          <w:szCs w:val="36"/>
        </w:rPr>
        <w:fldChar w:fldCharType="begin"/>
      </w:r>
      <w:r>
        <w:rPr>
          <w:rFonts w:hint="default"/>
          <w:sz w:val="28"/>
          <w:szCs w:val="36"/>
        </w:rPr>
        <w:instrText xml:space="preserve"> HYPERLINK "http://mm.chinapower.com.cn/fd/yxjx/20210221/53144.html" \t "https://chat.deepseek.com/a/chat/s/_blank" </w:instrText>
      </w:r>
      <w:r>
        <w:rPr>
          <w:rFonts w:hint="default"/>
          <w:sz w:val="28"/>
          <w:szCs w:val="36"/>
        </w:rPr>
        <w:fldChar w:fldCharType="separate"/>
      </w:r>
      <w:r>
        <w:rPr>
          <w:rFonts w:hint="default"/>
          <w:sz w:val="28"/>
          <w:szCs w:val="36"/>
        </w:rPr>
        <w:fldChar w:fldCharType="end"/>
      </w:r>
    </w:p>
    <w:p w14:paraId="1091173E">
      <w:pPr>
        <w:keepNext w:val="0"/>
        <w:keepLines w:val="0"/>
        <w:pageBreakBefore w:val="0"/>
        <w:widowControl w:val="0"/>
        <w:kinsoku/>
        <w:wordWrap/>
        <w:overflowPunct/>
        <w:topLinePunct w:val="0"/>
        <w:autoSpaceDE/>
        <w:autoSpaceDN/>
        <w:bidi w:val="0"/>
        <w:adjustRightInd/>
        <w:snapToGrid/>
        <w:textAlignment w:val="auto"/>
        <w:rPr>
          <w:rFonts w:hint="default"/>
          <w:sz w:val="28"/>
          <w:szCs w:val="36"/>
        </w:rPr>
      </w:pPr>
      <w:r>
        <w:rPr>
          <w:rFonts w:hint="default"/>
          <w:sz w:val="28"/>
          <w:szCs w:val="36"/>
        </w:rPr>
        <w:t>5.2 现场核查阶段</w:t>
      </w:r>
    </w:p>
    <w:p w14:paraId="3E6D4E1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逐台核查：采取逐站逐台核查的方式，对每台保护装置逐一进行检查</w:t>
      </w:r>
      <w:r>
        <w:rPr>
          <w:rFonts w:hint="default"/>
          <w:sz w:val="28"/>
          <w:szCs w:val="36"/>
        </w:rPr>
        <w:fldChar w:fldCharType="begin"/>
      </w:r>
      <w:r>
        <w:rPr>
          <w:rFonts w:hint="default"/>
          <w:sz w:val="28"/>
          <w:szCs w:val="36"/>
        </w:rPr>
        <w:instrText xml:space="preserve"> HYPERLINK "http://mm.chinapower.com.cn/fd/yxjx/20210221/53144.html" \t "https://chat.deepseek.com/a/chat/s/_blank" </w:instrText>
      </w:r>
      <w:r>
        <w:rPr>
          <w:rFonts w:hint="default"/>
          <w:sz w:val="28"/>
          <w:szCs w:val="36"/>
        </w:rPr>
        <w:fldChar w:fldCharType="separate"/>
      </w:r>
      <w:r>
        <w:rPr>
          <w:rFonts w:hint="default"/>
          <w:sz w:val="28"/>
          <w:szCs w:val="36"/>
        </w:rPr>
        <w:fldChar w:fldCharType="end"/>
      </w:r>
    </w:p>
    <w:p w14:paraId="7CC67AB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定值读取与打印：从保护装置读取并打印当前运行定值</w:t>
      </w:r>
    </w:p>
    <w:p w14:paraId="5A20486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逐项核对：对照定值通知单逐项核对定值参数</w:t>
      </w:r>
    </w:p>
    <w:p w14:paraId="57B5F2F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压板核查：检查各保护压板名称和投退状态</w:t>
      </w:r>
    </w:p>
    <w:p w14:paraId="476AF68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软件版本核查：核对装置软件版本号</w:t>
      </w:r>
    </w:p>
    <w:p w14:paraId="42A7700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记录与拍照：严格执行核查、记录和拍照步骤</w:t>
      </w:r>
      <w:r>
        <w:rPr>
          <w:rFonts w:hint="default"/>
          <w:sz w:val="28"/>
          <w:szCs w:val="36"/>
        </w:rPr>
        <w:fldChar w:fldCharType="begin"/>
      </w:r>
      <w:r>
        <w:rPr>
          <w:rFonts w:hint="default"/>
          <w:sz w:val="28"/>
          <w:szCs w:val="36"/>
        </w:rPr>
        <w:instrText xml:space="preserve"> HYPERLINK "http://mm.chinapower.com.cn/fd/yxjx/20210221/53144.html" \t "https://chat.deepseek.com/a/chat/s/_blank" </w:instrText>
      </w:r>
      <w:r>
        <w:rPr>
          <w:rFonts w:hint="default"/>
          <w:sz w:val="28"/>
          <w:szCs w:val="36"/>
        </w:rPr>
        <w:fldChar w:fldCharType="separate"/>
      </w:r>
      <w:r>
        <w:rPr>
          <w:rFonts w:hint="default"/>
          <w:sz w:val="28"/>
          <w:szCs w:val="36"/>
        </w:rPr>
        <w:fldChar w:fldCharType="end"/>
      </w:r>
    </w:p>
    <w:p w14:paraId="14339EB2">
      <w:pPr>
        <w:keepNext w:val="0"/>
        <w:keepLines w:val="0"/>
        <w:pageBreakBefore w:val="0"/>
        <w:widowControl w:val="0"/>
        <w:kinsoku/>
        <w:wordWrap/>
        <w:overflowPunct/>
        <w:topLinePunct w:val="0"/>
        <w:autoSpaceDE/>
        <w:autoSpaceDN/>
        <w:bidi w:val="0"/>
        <w:adjustRightInd/>
        <w:snapToGrid/>
        <w:textAlignment w:val="auto"/>
        <w:rPr>
          <w:rFonts w:hint="default"/>
          <w:sz w:val="28"/>
          <w:szCs w:val="36"/>
        </w:rPr>
      </w:pPr>
      <w:r>
        <w:rPr>
          <w:rFonts w:hint="default"/>
          <w:sz w:val="28"/>
          <w:szCs w:val="36"/>
        </w:rPr>
        <w:t>5.3 问题整改阶段</w:t>
      </w:r>
    </w:p>
    <w:p w14:paraId="0C2F0A9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问题记录：对不一致情况详细记录，分类整理</w:t>
      </w:r>
    </w:p>
    <w:p w14:paraId="5D7BA7B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边查边改：落实“边检查、边整改”原则</w:t>
      </w:r>
      <w:r>
        <w:rPr>
          <w:rFonts w:hint="default"/>
          <w:sz w:val="28"/>
          <w:szCs w:val="36"/>
        </w:rPr>
        <w:fldChar w:fldCharType="begin"/>
      </w:r>
      <w:r>
        <w:rPr>
          <w:rFonts w:hint="default"/>
          <w:sz w:val="28"/>
          <w:szCs w:val="36"/>
        </w:rPr>
        <w:instrText xml:space="preserve"> HYPERLINK "http://mm.chinapower.com.cn/fd/yxjx/20210221/53144.html" \t "https://chat.deepseek.com/a/chat/s/_blank" </w:instrText>
      </w:r>
      <w:r>
        <w:rPr>
          <w:rFonts w:hint="default"/>
          <w:sz w:val="28"/>
          <w:szCs w:val="36"/>
        </w:rPr>
        <w:fldChar w:fldCharType="separate"/>
      </w:r>
      <w:r>
        <w:rPr>
          <w:rFonts w:hint="default"/>
          <w:sz w:val="28"/>
          <w:szCs w:val="36"/>
        </w:rPr>
        <w:fldChar w:fldCharType="end"/>
      </w:r>
    </w:p>
    <w:p w14:paraId="715BFDF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重新整定：对不一致情况按照定值通知单重新整定</w:t>
      </w:r>
    </w:p>
    <w:p w14:paraId="5CFF435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复查确认：整改完成后再次复查确认</w:t>
      </w:r>
    </w:p>
    <w:p w14:paraId="397BAD90">
      <w:pPr>
        <w:keepNext w:val="0"/>
        <w:keepLines w:val="0"/>
        <w:pageBreakBefore w:val="0"/>
        <w:widowControl w:val="0"/>
        <w:kinsoku/>
        <w:wordWrap/>
        <w:overflowPunct/>
        <w:topLinePunct w:val="0"/>
        <w:autoSpaceDE/>
        <w:autoSpaceDN/>
        <w:bidi w:val="0"/>
        <w:adjustRightInd/>
        <w:snapToGrid/>
        <w:textAlignment w:val="auto"/>
        <w:rPr>
          <w:rFonts w:hint="default"/>
          <w:sz w:val="28"/>
          <w:szCs w:val="36"/>
        </w:rPr>
      </w:pPr>
      <w:r>
        <w:rPr>
          <w:rFonts w:hint="default"/>
          <w:sz w:val="28"/>
          <w:szCs w:val="36"/>
        </w:rPr>
        <w:t>5.4 成果编制与评审阶段</w:t>
      </w:r>
    </w:p>
    <w:p w14:paraId="0A274DA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编制定值计算书：依据DL/T 684-2025编制正式《继电保护定值计算书》</w:t>
      </w:r>
    </w:p>
    <w:p w14:paraId="260372C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编制定值清单：建立标准化的《继电保护定值清单》</w:t>
      </w:r>
    </w:p>
    <w:p w14:paraId="57A1F5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三方联合评审：由外部专家、集团技术中心人员及企业内部专业人员组成三方评审组进行联合评审</w:t>
      </w:r>
      <w:r>
        <w:rPr>
          <w:rFonts w:hint="default"/>
          <w:sz w:val="28"/>
          <w:szCs w:val="36"/>
        </w:rPr>
        <w:fldChar w:fldCharType="begin"/>
      </w:r>
      <w:r>
        <w:rPr>
          <w:rFonts w:hint="default"/>
          <w:sz w:val="28"/>
          <w:szCs w:val="36"/>
        </w:rPr>
        <w:instrText xml:space="preserve"> HYPERLINK "http://www.gdtzb.com/g-zb-46759462.html" \t "https://chat.deepseek.com/a/chat/s/_blank" </w:instrText>
      </w:r>
      <w:r>
        <w:rPr>
          <w:rFonts w:hint="default"/>
          <w:sz w:val="28"/>
          <w:szCs w:val="36"/>
        </w:rPr>
        <w:fldChar w:fldCharType="separate"/>
      </w:r>
      <w:r>
        <w:rPr>
          <w:rFonts w:hint="default"/>
          <w:sz w:val="28"/>
          <w:szCs w:val="36"/>
        </w:rPr>
        <w:fldChar w:fldCharType="end"/>
      </w:r>
    </w:p>
    <w:p w14:paraId="3793314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审批归档：完成审批流程后归档管理</w:t>
      </w:r>
    </w:p>
    <w:p w14:paraId="4F016C4C">
      <w:pPr>
        <w:pStyle w:val="2"/>
        <w:keepNext/>
        <w:keepLines/>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b/>
          <w:sz w:val="32"/>
          <w:szCs w:val="20"/>
        </w:rPr>
      </w:pPr>
      <w:r>
        <w:rPr>
          <w:rFonts w:hint="default"/>
          <w:b/>
          <w:sz w:val="32"/>
          <w:szCs w:val="20"/>
        </w:rPr>
        <w:t>六、成果交付</w:t>
      </w:r>
    </w:p>
    <w:tbl>
      <w:tblPr>
        <w:tblStyle w:val="3"/>
        <w:tblW w:w="112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015"/>
        <w:gridCol w:w="4983"/>
        <w:gridCol w:w="5282"/>
      </w:tblGrid>
      <w:tr w14:paraId="3F566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150" w:type="dxa"/>
              <w:left w:w="0" w:type="dxa"/>
              <w:bottom w:w="150" w:type="dxa"/>
              <w:right w:w="240" w:type="dxa"/>
            </w:tcMar>
            <w:vAlign w:val="center"/>
          </w:tcPr>
          <w:p w14:paraId="2B98E13B">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序号</w:t>
            </w:r>
          </w:p>
        </w:tc>
        <w:tc>
          <w:tcPr>
            <w:tcW w:w="0" w:type="auto"/>
            <w:tcBorders>
              <w:top w:val="nil"/>
            </w:tcBorders>
            <w:shd w:val="clear" w:color="auto" w:fill="auto"/>
            <w:tcMar>
              <w:top w:w="150" w:type="dxa"/>
              <w:left w:w="240" w:type="dxa"/>
              <w:bottom w:w="150" w:type="dxa"/>
              <w:right w:w="240" w:type="dxa"/>
            </w:tcMar>
            <w:vAlign w:val="center"/>
          </w:tcPr>
          <w:p w14:paraId="594CEC8B">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交付成果</w:t>
            </w:r>
          </w:p>
        </w:tc>
        <w:tc>
          <w:tcPr>
            <w:tcW w:w="0" w:type="auto"/>
            <w:tcBorders>
              <w:top w:val="nil"/>
            </w:tcBorders>
            <w:shd w:val="clear" w:color="auto" w:fill="auto"/>
            <w:tcMar>
              <w:top w:w="150" w:type="dxa"/>
              <w:left w:w="240" w:type="dxa"/>
              <w:bottom w:w="150" w:type="dxa"/>
              <w:right w:w="240" w:type="dxa"/>
            </w:tcMar>
            <w:vAlign w:val="center"/>
          </w:tcPr>
          <w:p w14:paraId="7D28CF61">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说明</w:t>
            </w:r>
          </w:p>
        </w:tc>
      </w:tr>
      <w:tr w14:paraId="3C244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1C00247F">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1</w:t>
            </w:r>
          </w:p>
        </w:tc>
        <w:tc>
          <w:tcPr>
            <w:tcW w:w="0" w:type="auto"/>
            <w:shd w:val="clear" w:color="auto" w:fill="auto"/>
            <w:tcMar>
              <w:top w:w="150" w:type="dxa"/>
              <w:left w:w="240" w:type="dxa"/>
              <w:bottom w:w="150" w:type="dxa"/>
              <w:right w:w="240" w:type="dxa"/>
            </w:tcMar>
            <w:vAlign w:val="center"/>
          </w:tcPr>
          <w:p w14:paraId="23D9D13D">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《继电保护定值计算书》</w:t>
            </w:r>
          </w:p>
        </w:tc>
        <w:tc>
          <w:tcPr>
            <w:tcW w:w="0" w:type="auto"/>
            <w:shd w:val="clear" w:color="auto" w:fill="auto"/>
            <w:tcMar>
              <w:top w:w="150" w:type="dxa"/>
              <w:left w:w="240" w:type="dxa"/>
              <w:bottom w:w="150" w:type="dxa"/>
              <w:right w:w="0" w:type="dxa"/>
            </w:tcMar>
            <w:vAlign w:val="center"/>
          </w:tcPr>
          <w:p w14:paraId="57EADCC7">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经审批流程、具备正式审批效力</w:t>
            </w:r>
            <w:r>
              <w:rPr>
                <w:rFonts w:hint="default" w:ascii="Segoe UI" w:hAnsi="Segoe UI" w:eastAsia="Segoe UI" w:cs="Segoe UI"/>
                <w:color w:val="679EFE"/>
                <w:kern w:val="0"/>
                <w:sz w:val="22"/>
                <w:szCs w:val="22"/>
                <w:u w:val="none"/>
                <w:bdr w:val="single" w:color="auto" w:sz="8" w:space="0"/>
                <w:lang w:val="en-US" w:eastAsia="zh-CN" w:bidi="ar"/>
              </w:rPr>
              <w:fldChar w:fldCharType="begin"/>
            </w:r>
            <w:r>
              <w:rPr>
                <w:rFonts w:hint="default" w:ascii="Segoe UI" w:hAnsi="Segoe UI" w:eastAsia="Segoe UI" w:cs="Segoe UI"/>
                <w:color w:val="679EFE"/>
                <w:kern w:val="0"/>
                <w:sz w:val="22"/>
                <w:szCs w:val="22"/>
                <w:u w:val="none"/>
                <w:bdr w:val="single" w:color="auto" w:sz="8" w:space="0"/>
                <w:lang w:val="en-US" w:eastAsia="zh-CN" w:bidi="ar"/>
              </w:rPr>
              <w:instrText xml:space="preserve"> HYPERLINK "http://www.gdtzb.com/g-zb-46759462.html" \t "https://chat.deepseek.com/a/chat/s/_blank" </w:instrText>
            </w:r>
            <w:r>
              <w:rPr>
                <w:rFonts w:hint="default" w:ascii="Segoe UI" w:hAnsi="Segoe UI" w:eastAsia="Segoe UI" w:cs="Segoe UI"/>
                <w:color w:val="679EFE"/>
                <w:kern w:val="0"/>
                <w:sz w:val="22"/>
                <w:szCs w:val="22"/>
                <w:u w:val="none"/>
                <w:bdr w:val="single" w:color="auto" w:sz="8" w:space="0"/>
                <w:lang w:val="en-US" w:eastAsia="zh-CN" w:bidi="ar"/>
              </w:rPr>
              <w:fldChar w:fldCharType="separate"/>
            </w:r>
            <w:r>
              <w:rPr>
                <w:rFonts w:hint="default" w:ascii="Segoe UI" w:hAnsi="Segoe UI" w:eastAsia="Segoe UI" w:cs="Segoe UI"/>
                <w:color w:val="679EFE"/>
                <w:kern w:val="0"/>
                <w:sz w:val="22"/>
                <w:szCs w:val="22"/>
                <w:u w:val="none"/>
                <w:bdr w:val="single" w:color="auto" w:sz="8" w:space="0"/>
                <w:lang w:val="en-US" w:eastAsia="zh-CN" w:bidi="ar"/>
              </w:rPr>
              <w:fldChar w:fldCharType="end"/>
            </w:r>
          </w:p>
        </w:tc>
      </w:tr>
      <w:tr w14:paraId="787C1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16EF9141">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2</w:t>
            </w:r>
          </w:p>
        </w:tc>
        <w:tc>
          <w:tcPr>
            <w:tcW w:w="0" w:type="auto"/>
            <w:shd w:val="clear" w:color="auto" w:fill="auto"/>
            <w:tcMar>
              <w:top w:w="150" w:type="dxa"/>
              <w:left w:w="240" w:type="dxa"/>
              <w:bottom w:w="150" w:type="dxa"/>
              <w:right w:w="240" w:type="dxa"/>
            </w:tcMar>
            <w:vAlign w:val="center"/>
          </w:tcPr>
          <w:p w14:paraId="1D235961">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《继电保护定值清单》</w:t>
            </w:r>
          </w:p>
        </w:tc>
        <w:tc>
          <w:tcPr>
            <w:tcW w:w="0" w:type="auto"/>
            <w:shd w:val="clear" w:color="auto" w:fill="auto"/>
            <w:tcMar>
              <w:top w:w="150" w:type="dxa"/>
              <w:left w:w="240" w:type="dxa"/>
              <w:bottom w:w="150" w:type="dxa"/>
              <w:right w:w="0" w:type="dxa"/>
            </w:tcMar>
            <w:vAlign w:val="center"/>
          </w:tcPr>
          <w:p w14:paraId="0C5BE27B">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涵盖全部核查设备的最终定值</w:t>
            </w:r>
            <w:r>
              <w:rPr>
                <w:rFonts w:hint="default" w:ascii="Segoe UI" w:hAnsi="Segoe UI" w:eastAsia="Segoe UI" w:cs="Segoe UI"/>
                <w:color w:val="679EFE"/>
                <w:kern w:val="0"/>
                <w:sz w:val="22"/>
                <w:szCs w:val="22"/>
                <w:u w:val="none"/>
                <w:bdr w:val="single" w:color="auto" w:sz="8" w:space="0"/>
                <w:lang w:val="en-US" w:eastAsia="zh-CN" w:bidi="ar"/>
              </w:rPr>
              <w:fldChar w:fldCharType="begin"/>
            </w:r>
            <w:r>
              <w:rPr>
                <w:rFonts w:hint="default" w:ascii="Segoe UI" w:hAnsi="Segoe UI" w:eastAsia="Segoe UI" w:cs="Segoe UI"/>
                <w:color w:val="679EFE"/>
                <w:kern w:val="0"/>
                <w:sz w:val="22"/>
                <w:szCs w:val="22"/>
                <w:u w:val="none"/>
                <w:bdr w:val="single" w:color="auto" w:sz="8" w:space="0"/>
                <w:lang w:val="en-US" w:eastAsia="zh-CN" w:bidi="ar"/>
              </w:rPr>
              <w:instrText xml:space="preserve"> HYPERLINK "http://www.gdtzb.com/g-zb-46759462.html" \t "https://chat.deepseek.com/a/chat/s/_blank" </w:instrText>
            </w:r>
            <w:r>
              <w:rPr>
                <w:rFonts w:hint="default" w:ascii="Segoe UI" w:hAnsi="Segoe UI" w:eastAsia="Segoe UI" w:cs="Segoe UI"/>
                <w:color w:val="679EFE"/>
                <w:kern w:val="0"/>
                <w:sz w:val="22"/>
                <w:szCs w:val="22"/>
                <w:u w:val="none"/>
                <w:bdr w:val="single" w:color="auto" w:sz="8" w:space="0"/>
                <w:lang w:val="en-US" w:eastAsia="zh-CN" w:bidi="ar"/>
              </w:rPr>
              <w:fldChar w:fldCharType="separate"/>
            </w:r>
            <w:r>
              <w:rPr>
                <w:rFonts w:hint="default" w:ascii="Segoe UI" w:hAnsi="Segoe UI" w:eastAsia="Segoe UI" w:cs="Segoe UI"/>
                <w:color w:val="679EFE"/>
                <w:kern w:val="0"/>
                <w:sz w:val="22"/>
                <w:szCs w:val="22"/>
                <w:u w:val="none"/>
                <w:bdr w:val="single" w:color="auto" w:sz="8" w:space="0"/>
                <w:lang w:val="en-US" w:eastAsia="zh-CN" w:bidi="ar"/>
              </w:rPr>
              <w:fldChar w:fldCharType="end"/>
            </w:r>
          </w:p>
        </w:tc>
      </w:tr>
      <w:tr w14:paraId="3DB20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070A41C4">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3</w:t>
            </w:r>
          </w:p>
        </w:tc>
        <w:tc>
          <w:tcPr>
            <w:tcW w:w="0" w:type="auto"/>
            <w:shd w:val="clear" w:color="auto" w:fill="auto"/>
            <w:tcMar>
              <w:top w:w="150" w:type="dxa"/>
              <w:left w:w="240" w:type="dxa"/>
              <w:bottom w:w="150" w:type="dxa"/>
              <w:right w:w="240" w:type="dxa"/>
            </w:tcMar>
            <w:vAlign w:val="center"/>
          </w:tcPr>
          <w:p w14:paraId="5B9C51CF">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《核查问题记录与整改报告》</w:t>
            </w:r>
          </w:p>
        </w:tc>
        <w:tc>
          <w:tcPr>
            <w:tcW w:w="0" w:type="auto"/>
            <w:shd w:val="clear" w:color="auto" w:fill="auto"/>
            <w:tcMar>
              <w:top w:w="150" w:type="dxa"/>
              <w:left w:w="240" w:type="dxa"/>
              <w:bottom w:w="150" w:type="dxa"/>
              <w:right w:w="0" w:type="dxa"/>
            </w:tcMar>
            <w:vAlign w:val="center"/>
          </w:tcPr>
          <w:p w14:paraId="1197FD03">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记录发现的问题及整改情况</w:t>
            </w:r>
          </w:p>
        </w:tc>
      </w:tr>
      <w:tr w14:paraId="40C67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62E6C117">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4</w:t>
            </w:r>
          </w:p>
        </w:tc>
        <w:tc>
          <w:tcPr>
            <w:tcW w:w="0" w:type="auto"/>
            <w:shd w:val="clear" w:color="auto" w:fill="auto"/>
            <w:tcMar>
              <w:top w:w="150" w:type="dxa"/>
              <w:left w:w="240" w:type="dxa"/>
              <w:bottom w:w="150" w:type="dxa"/>
              <w:right w:w="240" w:type="dxa"/>
            </w:tcMar>
            <w:vAlign w:val="center"/>
          </w:tcPr>
          <w:p w14:paraId="1BA2919E">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《风险评估报告》</w:t>
            </w:r>
          </w:p>
        </w:tc>
        <w:tc>
          <w:tcPr>
            <w:tcW w:w="0" w:type="auto"/>
            <w:shd w:val="clear" w:color="auto" w:fill="auto"/>
            <w:tcMar>
              <w:top w:w="150" w:type="dxa"/>
              <w:left w:w="240" w:type="dxa"/>
              <w:bottom w:w="150" w:type="dxa"/>
              <w:right w:w="0" w:type="dxa"/>
            </w:tcMar>
            <w:vAlign w:val="center"/>
          </w:tcPr>
          <w:p w14:paraId="0F11FFC8">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评估定值配置对机组及电网的影响</w:t>
            </w:r>
          </w:p>
        </w:tc>
      </w:tr>
      <w:tr w14:paraId="37B9A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7207B110">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5</w:t>
            </w:r>
          </w:p>
        </w:tc>
        <w:tc>
          <w:tcPr>
            <w:tcW w:w="0" w:type="auto"/>
            <w:shd w:val="clear" w:color="auto" w:fill="auto"/>
            <w:tcMar>
              <w:top w:w="150" w:type="dxa"/>
              <w:left w:w="240" w:type="dxa"/>
              <w:bottom w:w="150" w:type="dxa"/>
              <w:right w:w="240" w:type="dxa"/>
            </w:tcMar>
            <w:vAlign w:val="center"/>
          </w:tcPr>
          <w:p w14:paraId="3C57D1E4">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核查过程工作台账</w:t>
            </w:r>
          </w:p>
        </w:tc>
        <w:tc>
          <w:tcPr>
            <w:tcW w:w="0" w:type="auto"/>
            <w:shd w:val="clear" w:color="auto" w:fill="auto"/>
            <w:tcMar>
              <w:top w:w="150" w:type="dxa"/>
              <w:left w:w="240" w:type="dxa"/>
              <w:bottom w:w="150" w:type="dxa"/>
              <w:right w:w="0" w:type="dxa"/>
            </w:tcMar>
            <w:vAlign w:val="center"/>
          </w:tcPr>
          <w:p w14:paraId="01D997CA">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确保工作全程可追溯、可核查</w:t>
            </w:r>
            <w:r>
              <w:rPr>
                <w:rFonts w:hint="default" w:ascii="Segoe UI" w:hAnsi="Segoe UI" w:eastAsia="Segoe UI" w:cs="Segoe UI"/>
                <w:color w:val="679EFE"/>
                <w:kern w:val="0"/>
                <w:sz w:val="22"/>
                <w:szCs w:val="22"/>
                <w:u w:val="none"/>
                <w:bdr w:val="single" w:color="auto" w:sz="8" w:space="0"/>
                <w:lang w:val="en-US" w:eastAsia="zh-CN" w:bidi="ar"/>
              </w:rPr>
              <w:fldChar w:fldCharType="begin"/>
            </w:r>
            <w:r>
              <w:rPr>
                <w:rFonts w:hint="default" w:ascii="Segoe UI" w:hAnsi="Segoe UI" w:eastAsia="Segoe UI" w:cs="Segoe UI"/>
                <w:color w:val="679EFE"/>
                <w:kern w:val="0"/>
                <w:sz w:val="22"/>
                <w:szCs w:val="22"/>
                <w:u w:val="none"/>
                <w:bdr w:val="single" w:color="auto" w:sz="8" w:space="0"/>
                <w:lang w:val="en-US" w:eastAsia="zh-CN" w:bidi="ar"/>
              </w:rPr>
              <w:instrText xml:space="preserve"> HYPERLINK "https://www.sdicpj.com/gtpj/gsxw/yxdt/webinfo/2026/05/1781746442990752.htm" \t "https://chat.deepseek.com/a/chat/s/_blank" </w:instrText>
            </w:r>
            <w:r>
              <w:rPr>
                <w:rFonts w:hint="default" w:ascii="Segoe UI" w:hAnsi="Segoe UI" w:eastAsia="Segoe UI" w:cs="Segoe UI"/>
                <w:color w:val="679EFE"/>
                <w:kern w:val="0"/>
                <w:sz w:val="22"/>
                <w:szCs w:val="22"/>
                <w:u w:val="none"/>
                <w:bdr w:val="single" w:color="auto" w:sz="8" w:space="0"/>
                <w:lang w:val="en-US" w:eastAsia="zh-CN" w:bidi="ar"/>
              </w:rPr>
              <w:fldChar w:fldCharType="separate"/>
            </w:r>
            <w:r>
              <w:rPr>
                <w:rFonts w:hint="default" w:ascii="Segoe UI" w:hAnsi="Segoe UI" w:eastAsia="Segoe UI" w:cs="Segoe UI"/>
                <w:color w:val="679EFE"/>
                <w:kern w:val="0"/>
                <w:sz w:val="22"/>
                <w:szCs w:val="22"/>
                <w:u w:val="none"/>
                <w:bdr w:val="single" w:color="auto" w:sz="8" w:space="0"/>
                <w:lang w:val="en-US" w:eastAsia="zh-CN" w:bidi="ar"/>
              </w:rPr>
              <w:fldChar w:fldCharType="end"/>
            </w:r>
          </w:p>
        </w:tc>
      </w:tr>
    </w:tbl>
    <w:p w14:paraId="42AA174A">
      <w:pPr>
        <w:pStyle w:val="2"/>
        <w:keepNext/>
        <w:keepLines/>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b/>
          <w:sz w:val="32"/>
          <w:szCs w:val="20"/>
        </w:rPr>
      </w:pPr>
      <w:r>
        <w:rPr>
          <w:rFonts w:hint="default"/>
          <w:b/>
          <w:sz w:val="32"/>
          <w:szCs w:val="20"/>
        </w:rPr>
        <w:t>七、注意事项</w:t>
      </w:r>
    </w:p>
    <w:p w14:paraId="2E75D888">
      <w:pPr>
        <w:keepNext w:val="0"/>
        <w:keepLines w:val="0"/>
        <w:pageBreakBefore w:val="0"/>
        <w:widowControl w:val="0"/>
        <w:kinsoku/>
        <w:wordWrap/>
        <w:overflowPunct/>
        <w:topLinePunct w:val="0"/>
        <w:autoSpaceDE/>
        <w:autoSpaceDN/>
        <w:bidi w:val="0"/>
        <w:adjustRightInd/>
        <w:snapToGrid/>
        <w:textAlignment w:val="auto"/>
        <w:rPr>
          <w:rFonts w:hint="default"/>
          <w:sz w:val="28"/>
          <w:szCs w:val="36"/>
        </w:rPr>
      </w:pPr>
      <w:r>
        <w:rPr>
          <w:rFonts w:hint="default"/>
          <w:sz w:val="28"/>
          <w:szCs w:val="36"/>
        </w:rPr>
        <w:t>7.1 安全管理</w:t>
      </w:r>
    </w:p>
    <w:p w14:paraId="4ABF3DF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严格执行工作票制度：所有继电保护作业必须做到“有票可依、有迹可查、有责可追”，严禁无审批作业、无监护操作。</w:t>
      </w:r>
    </w:p>
    <w:p w14:paraId="05C47A6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防误操作措施：实施压板状态双确认等防误措施。</w:t>
      </w:r>
    </w:p>
    <w:p w14:paraId="6180645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二次回路安全：注意TA二次回路严禁开路，防止电流互感器二次开路产生高压。</w:t>
      </w:r>
    </w:p>
    <w:p w14:paraId="43AA9DD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专人监护：现场作业必须有专人监护，严禁单人操作。</w:t>
      </w:r>
    </w:p>
    <w:p w14:paraId="4384215F">
      <w:pPr>
        <w:keepNext w:val="0"/>
        <w:keepLines w:val="0"/>
        <w:pageBreakBefore w:val="0"/>
        <w:widowControl w:val="0"/>
        <w:kinsoku/>
        <w:wordWrap/>
        <w:overflowPunct/>
        <w:topLinePunct w:val="0"/>
        <w:autoSpaceDE/>
        <w:autoSpaceDN/>
        <w:bidi w:val="0"/>
        <w:adjustRightInd/>
        <w:snapToGrid/>
        <w:textAlignment w:val="auto"/>
        <w:rPr>
          <w:rFonts w:hint="default"/>
          <w:sz w:val="28"/>
          <w:szCs w:val="36"/>
        </w:rPr>
      </w:pPr>
      <w:r>
        <w:rPr>
          <w:rFonts w:hint="default"/>
          <w:sz w:val="28"/>
          <w:szCs w:val="36"/>
        </w:rPr>
        <w:t>7.2 质量控制</w:t>
      </w:r>
    </w:p>
    <w:p w14:paraId="3EB320A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定值“三核对”原则：定值与图纸核对、定值与现场装置核对、图纸与现场装置核对，三者正确后方可执行。</w:t>
      </w:r>
    </w:p>
    <w:p w14:paraId="4411B3C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100%准确率目标：确保核查设备定值正确率达到100%。</w:t>
      </w:r>
    </w:p>
    <w:p w14:paraId="3CAD193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交叉复核机制：严格落实自检互查、交叉复核工作机制。</w:t>
      </w:r>
    </w:p>
    <w:p w14:paraId="32DA3F2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版本一致性：确保软件版本与定值单一致，防止软件被非法修改。</w:t>
      </w:r>
    </w:p>
    <w:p w14:paraId="0A6B513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校验数据准确记录：校验结果应符合相关规程、标准及整定方案要求，不合格的保护装置不得投入运行。</w:t>
      </w:r>
    </w:p>
    <w:p w14:paraId="5A610A36">
      <w:pPr>
        <w:keepNext w:val="0"/>
        <w:keepLines w:val="0"/>
        <w:pageBreakBefore w:val="0"/>
        <w:widowControl w:val="0"/>
        <w:kinsoku/>
        <w:wordWrap/>
        <w:overflowPunct/>
        <w:topLinePunct w:val="0"/>
        <w:autoSpaceDE/>
        <w:autoSpaceDN/>
        <w:bidi w:val="0"/>
        <w:adjustRightInd/>
        <w:snapToGrid/>
        <w:textAlignment w:val="auto"/>
        <w:rPr>
          <w:rFonts w:hint="default"/>
          <w:sz w:val="28"/>
          <w:szCs w:val="36"/>
        </w:rPr>
      </w:pPr>
      <w:r>
        <w:rPr>
          <w:rFonts w:hint="default"/>
          <w:sz w:val="28"/>
          <w:szCs w:val="36"/>
        </w:rPr>
        <w:t>7.3 数据管理</w:t>
      </w:r>
    </w:p>
    <w:p w14:paraId="55AA55C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建立动态台账：建立动态可控、真实可靠的涉网保护数字化档案。</w:t>
      </w:r>
    </w:p>
    <w:p w14:paraId="4F2C934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及时上报：按规定向调度机构上报继电保护基础数据。</w:t>
      </w:r>
    </w:p>
    <w:p w14:paraId="277698D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保护动作报告：保护动作后须在1个工作日内将故障数据、保护动作分析报告报送电力调度机构。</w:t>
      </w:r>
    </w:p>
    <w:p w14:paraId="626F533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数据加密与溯源：校验结果数据统一、格式规范，自动加密，有利于技术监督工作的溯源。</w:t>
      </w:r>
    </w:p>
    <w:p w14:paraId="6734061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7.4 常见风险与防控</w:t>
      </w:r>
    </w:p>
    <w:tbl>
      <w:tblPr>
        <w:tblStyle w:val="3"/>
        <w:tblW w:w="112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495"/>
        <w:gridCol w:w="5341"/>
        <w:gridCol w:w="4444"/>
      </w:tblGrid>
      <w:tr w14:paraId="2D05E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150" w:type="dxa"/>
              <w:left w:w="0" w:type="dxa"/>
              <w:bottom w:w="150" w:type="dxa"/>
              <w:right w:w="240" w:type="dxa"/>
            </w:tcMar>
            <w:vAlign w:val="center"/>
          </w:tcPr>
          <w:p w14:paraId="13A2948D">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风险类型</w:t>
            </w:r>
          </w:p>
        </w:tc>
        <w:tc>
          <w:tcPr>
            <w:tcW w:w="0" w:type="auto"/>
            <w:tcBorders>
              <w:top w:val="nil"/>
            </w:tcBorders>
            <w:shd w:val="clear" w:color="auto" w:fill="auto"/>
            <w:tcMar>
              <w:top w:w="150" w:type="dxa"/>
              <w:left w:w="240" w:type="dxa"/>
              <w:bottom w:w="150" w:type="dxa"/>
              <w:right w:w="240" w:type="dxa"/>
            </w:tcMar>
            <w:vAlign w:val="center"/>
          </w:tcPr>
          <w:p w14:paraId="7018F28A">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典型问题</w:t>
            </w:r>
          </w:p>
        </w:tc>
        <w:tc>
          <w:tcPr>
            <w:tcW w:w="0" w:type="auto"/>
            <w:tcBorders>
              <w:top w:val="nil"/>
            </w:tcBorders>
            <w:shd w:val="clear" w:color="auto" w:fill="auto"/>
            <w:tcMar>
              <w:top w:w="150" w:type="dxa"/>
              <w:left w:w="240" w:type="dxa"/>
              <w:bottom w:w="150" w:type="dxa"/>
              <w:right w:w="240" w:type="dxa"/>
            </w:tcMar>
            <w:vAlign w:val="center"/>
          </w:tcPr>
          <w:p w14:paraId="69577407">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防控措施</w:t>
            </w:r>
          </w:p>
        </w:tc>
      </w:tr>
      <w:tr w14:paraId="7B5F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35526453">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定值偏差</w:t>
            </w:r>
          </w:p>
        </w:tc>
        <w:tc>
          <w:tcPr>
            <w:tcW w:w="0" w:type="auto"/>
            <w:shd w:val="clear" w:color="auto" w:fill="auto"/>
            <w:tcMar>
              <w:top w:w="150" w:type="dxa"/>
              <w:left w:w="240" w:type="dxa"/>
              <w:bottom w:w="150" w:type="dxa"/>
              <w:right w:w="240" w:type="dxa"/>
            </w:tcMar>
            <w:vAlign w:val="center"/>
          </w:tcPr>
          <w:p w14:paraId="1E49AB72">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定值偏低或偏高导致保护误动或拒动</w:t>
            </w:r>
          </w:p>
        </w:tc>
        <w:tc>
          <w:tcPr>
            <w:tcW w:w="0" w:type="auto"/>
            <w:shd w:val="clear" w:color="auto" w:fill="auto"/>
            <w:tcMar>
              <w:top w:w="150" w:type="dxa"/>
              <w:left w:w="240" w:type="dxa"/>
              <w:bottom w:w="150" w:type="dxa"/>
              <w:right w:w="0" w:type="dxa"/>
            </w:tcMar>
            <w:vAlign w:val="center"/>
          </w:tcPr>
          <w:p w14:paraId="578468E8">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严格按DL/T 684-2025复算校核</w:t>
            </w:r>
          </w:p>
        </w:tc>
      </w:tr>
      <w:tr w14:paraId="17F1F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3BE60D7D">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接线错误</w:t>
            </w:r>
          </w:p>
        </w:tc>
        <w:tc>
          <w:tcPr>
            <w:tcW w:w="0" w:type="auto"/>
            <w:shd w:val="clear" w:color="auto" w:fill="auto"/>
            <w:tcMar>
              <w:top w:w="150" w:type="dxa"/>
              <w:left w:w="240" w:type="dxa"/>
              <w:bottom w:w="150" w:type="dxa"/>
              <w:right w:w="240" w:type="dxa"/>
            </w:tcMar>
            <w:vAlign w:val="center"/>
          </w:tcPr>
          <w:p w14:paraId="5E8980C5">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二次回路接线与图纸不一致</w:t>
            </w:r>
          </w:p>
        </w:tc>
        <w:tc>
          <w:tcPr>
            <w:tcW w:w="0" w:type="auto"/>
            <w:shd w:val="clear" w:color="auto" w:fill="auto"/>
            <w:tcMar>
              <w:top w:w="150" w:type="dxa"/>
              <w:left w:w="240" w:type="dxa"/>
              <w:bottom w:w="150" w:type="dxa"/>
              <w:right w:w="0" w:type="dxa"/>
            </w:tcMar>
            <w:vAlign w:val="center"/>
          </w:tcPr>
          <w:p w14:paraId="47C706D7">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逐回路核查比对</w:t>
            </w:r>
          </w:p>
        </w:tc>
      </w:tr>
      <w:tr w14:paraId="143C8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6A8DFA5A">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软件问题</w:t>
            </w:r>
          </w:p>
        </w:tc>
        <w:tc>
          <w:tcPr>
            <w:tcW w:w="0" w:type="auto"/>
            <w:shd w:val="clear" w:color="auto" w:fill="auto"/>
            <w:tcMar>
              <w:top w:w="150" w:type="dxa"/>
              <w:left w:w="240" w:type="dxa"/>
              <w:bottom w:w="150" w:type="dxa"/>
              <w:right w:w="240" w:type="dxa"/>
            </w:tcMar>
            <w:vAlign w:val="center"/>
          </w:tcPr>
          <w:p w14:paraId="29E7CD13">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软件版本不一致或被非法修改</w:t>
            </w:r>
          </w:p>
        </w:tc>
        <w:tc>
          <w:tcPr>
            <w:tcW w:w="0" w:type="auto"/>
            <w:shd w:val="clear" w:color="auto" w:fill="auto"/>
            <w:tcMar>
              <w:top w:w="150" w:type="dxa"/>
              <w:left w:w="240" w:type="dxa"/>
              <w:bottom w:w="150" w:type="dxa"/>
              <w:right w:w="0" w:type="dxa"/>
            </w:tcMar>
            <w:vAlign w:val="center"/>
          </w:tcPr>
          <w:p w14:paraId="06C85DF5">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逐台核对版本号与校验码</w:t>
            </w:r>
          </w:p>
        </w:tc>
      </w:tr>
      <w:tr w14:paraId="2421E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041670DE">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压板误投</w:t>
            </w:r>
          </w:p>
        </w:tc>
        <w:tc>
          <w:tcPr>
            <w:tcW w:w="0" w:type="auto"/>
            <w:shd w:val="clear" w:color="auto" w:fill="auto"/>
            <w:tcMar>
              <w:top w:w="150" w:type="dxa"/>
              <w:left w:w="240" w:type="dxa"/>
              <w:bottom w:w="150" w:type="dxa"/>
              <w:right w:w="240" w:type="dxa"/>
            </w:tcMar>
            <w:vAlign w:val="center"/>
          </w:tcPr>
          <w:p w14:paraId="08310660">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压板投退状态不符合运行要求</w:t>
            </w:r>
          </w:p>
        </w:tc>
        <w:tc>
          <w:tcPr>
            <w:tcW w:w="0" w:type="auto"/>
            <w:shd w:val="clear" w:color="auto" w:fill="auto"/>
            <w:tcMar>
              <w:top w:w="150" w:type="dxa"/>
              <w:left w:w="240" w:type="dxa"/>
              <w:bottom w:w="150" w:type="dxa"/>
              <w:right w:w="0" w:type="dxa"/>
            </w:tcMar>
            <w:vAlign w:val="center"/>
          </w:tcPr>
          <w:p w14:paraId="7B02398C">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逐项核查、双确认</w:t>
            </w:r>
          </w:p>
        </w:tc>
      </w:tr>
      <w:tr w14:paraId="5D4C6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6C31F4D7">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采样异常</w:t>
            </w:r>
          </w:p>
        </w:tc>
        <w:tc>
          <w:tcPr>
            <w:tcW w:w="0" w:type="auto"/>
            <w:shd w:val="clear" w:color="auto" w:fill="auto"/>
            <w:tcMar>
              <w:top w:w="150" w:type="dxa"/>
              <w:left w:w="240" w:type="dxa"/>
              <w:bottom w:w="150" w:type="dxa"/>
              <w:right w:w="240" w:type="dxa"/>
            </w:tcMar>
            <w:vAlign w:val="center"/>
          </w:tcPr>
          <w:p w14:paraId="3601A925">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保护装置采样异常导致拒动</w:t>
            </w:r>
          </w:p>
        </w:tc>
        <w:tc>
          <w:tcPr>
            <w:tcW w:w="0" w:type="auto"/>
            <w:shd w:val="clear" w:color="auto" w:fill="auto"/>
            <w:tcMar>
              <w:top w:w="150" w:type="dxa"/>
              <w:left w:w="240" w:type="dxa"/>
              <w:bottom w:w="150" w:type="dxa"/>
              <w:right w:w="0" w:type="dxa"/>
            </w:tcMar>
            <w:vAlign w:val="center"/>
          </w:tcPr>
          <w:p w14:paraId="6D88481F">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重视中性点接地变压器测量</w:t>
            </w:r>
          </w:p>
        </w:tc>
      </w:tr>
    </w:tbl>
    <w:p w14:paraId="1E14D60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7.5 人员与资质要求</w:t>
      </w:r>
    </w:p>
    <w:p w14:paraId="0347F83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人员配置：核查工作应由发电运行部电气专业人员与设备维护部电气二次专业人员协同作业</w:t>
      </w:r>
      <w:r>
        <w:rPr>
          <w:rFonts w:hint="default"/>
          <w:sz w:val="28"/>
          <w:szCs w:val="36"/>
        </w:rPr>
        <w:fldChar w:fldCharType="begin"/>
      </w:r>
      <w:r>
        <w:rPr>
          <w:rFonts w:hint="default"/>
          <w:sz w:val="28"/>
          <w:szCs w:val="36"/>
        </w:rPr>
        <w:instrText xml:space="preserve"> HYPERLINK "https://www.sdicpj.com/gtpj/gsxw/yxdt/webinfo/2026/05/1781746442990752.htm"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w:t>
      </w:r>
    </w:p>
    <w:p w14:paraId="587433D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资质要求：服务方应具备电力工程调试电源工程类一级证书或电力工程咨询单位乙级资信证书</w:t>
      </w:r>
      <w:r>
        <w:rPr>
          <w:rFonts w:hint="default"/>
          <w:sz w:val="28"/>
          <w:szCs w:val="36"/>
        </w:rPr>
        <w:fldChar w:fldCharType="begin"/>
      </w:r>
      <w:r>
        <w:rPr>
          <w:rFonts w:hint="default"/>
          <w:sz w:val="28"/>
          <w:szCs w:val="36"/>
        </w:rPr>
        <w:instrText xml:space="preserve"> HYPERLINK "http://www.gdtzb.com/g-zb-46759462.html"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w:t>
      </w:r>
    </w:p>
    <w:p w14:paraId="4557582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业绩要求：近三年内至少完成2个继电保护定值整定计算或校核相关业绩</w:t>
      </w:r>
      <w:r>
        <w:rPr>
          <w:rFonts w:hint="default"/>
          <w:sz w:val="28"/>
          <w:szCs w:val="36"/>
        </w:rPr>
        <w:fldChar w:fldCharType="begin"/>
      </w:r>
      <w:r>
        <w:rPr>
          <w:rFonts w:hint="default"/>
          <w:sz w:val="28"/>
          <w:szCs w:val="36"/>
        </w:rPr>
        <w:instrText xml:space="preserve"> HYPERLINK "http://www.gdtzb.com/g-zb-46759462.html"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w:t>
      </w:r>
    </w:p>
    <w:p w14:paraId="55B5D88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技术力量：项目团队应具备不少于4名高级工程师</w:t>
      </w:r>
      <w:r>
        <w:rPr>
          <w:rFonts w:hint="default"/>
          <w:sz w:val="28"/>
          <w:szCs w:val="36"/>
        </w:rPr>
        <w:fldChar w:fldCharType="begin"/>
      </w:r>
      <w:r>
        <w:rPr>
          <w:rFonts w:hint="default"/>
          <w:sz w:val="28"/>
          <w:szCs w:val="36"/>
        </w:rPr>
        <w:instrText xml:space="preserve"> HYPERLINK "http://www.gdtzb.com/g-zb-46759462.html" \t "https://chat.deepseek.com/a/chat/s/_blank" </w:instrText>
      </w:r>
      <w:r>
        <w:rPr>
          <w:rFonts w:hint="default"/>
          <w:sz w:val="28"/>
          <w:szCs w:val="36"/>
        </w:rPr>
        <w:fldChar w:fldCharType="separate"/>
      </w:r>
      <w:r>
        <w:rPr>
          <w:rFonts w:hint="default"/>
          <w:sz w:val="28"/>
          <w:szCs w:val="36"/>
        </w:rPr>
        <w:fldChar w:fldCharType="end"/>
      </w:r>
      <w:r>
        <w:rPr>
          <w:rFonts w:hint="default"/>
          <w:sz w:val="28"/>
          <w:szCs w:val="36"/>
        </w:rPr>
        <w:t>。</w:t>
      </w:r>
    </w:p>
    <w:p w14:paraId="241E346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7.6 其他注意事项</w:t>
      </w:r>
    </w:p>
    <w:p w14:paraId="5128A63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定期核查制度：建立继电保护定值定期核查制度，试验人员在每年开关保护校验前应检查保护定值。</w:t>
      </w:r>
    </w:p>
    <w:p w14:paraId="65356BC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校验计划管理：按期编制继电保护和自动装置年度校验计划，按规程及计划进行定期校验。</w:t>
      </w:r>
    </w:p>
    <w:p w14:paraId="40990BC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接地保护特殊要求：整定计算发电机定子接地保护时，必须根据发电机在不同负荷运行工况下实测的基波零序电压和三次谐波电压有效值数据。</w:t>
      </w:r>
    </w:p>
    <w:p w14:paraId="57B4D42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r>
        <w:rPr>
          <w:rFonts w:hint="default"/>
          <w:sz w:val="28"/>
          <w:szCs w:val="36"/>
        </w:rPr>
        <w:t>涉网保护管理：并网发电厂应按照继电保护管理要求及时开展数据核对、信息填报、资料上传等工作。</w:t>
      </w:r>
    </w:p>
    <w:p w14:paraId="41D5A1C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36"/>
        </w:rPr>
      </w:pPr>
    </w:p>
    <w:p w14:paraId="60FE178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B83E98"/>
    <w:rsid w:val="49B83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2025-09-25T02:11:00Z</dcterms:created>
  <dc:creator>Leon</dc:creator>
  <cp:lastModifiedBy>Leon</cp:lastModifiedBy>
  <dcterms:modified xsi:type="dcterms:W3CDTF">2025-09-25T02:11:41Z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4004DDA62CA7456D8F7DE01098C75817_11</vt:lpwstr>
  </property>
</Properties>
</file>